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A8B4" w14:textId="76FE03E4" w:rsidR="00D40C66" w:rsidRDefault="00D40C66" w:rsidP="00874D10">
      <w:pPr>
        <w:rPr>
          <w:rFonts w:ascii="Calibri" w:hAnsi="Calibri" w:cs="Calibri"/>
          <w:b/>
          <w:sz w:val="22"/>
          <w:szCs w:val="22"/>
          <w:lang w:val="nn-NO"/>
        </w:rPr>
      </w:pPr>
      <w:r>
        <w:rPr>
          <w:rFonts w:ascii="Calibri" w:hAnsi="Calibri" w:cs="Calibri"/>
          <w:b/>
          <w:sz w:val="22"/>
          <w:szCs w:val="22"/>
          <w:lang w:val="nn-NO"/>
        </w:rPr>
        <w:t xml:space="preserve">Nasjonale </w:t>
      </w:r>
      <w:proofErr w:type="spellStart"/>
      <w:r>
        <w:rPr>
          <w:rFonts w:ascii="Calibri" w:hAnsi="Calibri" w:cs="Calibri"/>
          <w:b/>
          <w:sz w:val="22"/>
          <w:szCs w:val="22"/>
          <w:lang w:val="nn-NO"/>
        </w:rPr>
        <w:t>forskningsetiske</w:t>
      </w:r>
      <w:proofErr w:type="spellEnd"/>
      <w:r>
        <w:rPr>
          <w:rFonts w:ascii="Calibri" w:hAnsi="Calibri" w:cs="Calibri"/>
          <w:b/>
          <w:sz w:val="22"/>
          <w:szCs w:val="22"/>
          <w:lang w:val="nn-NO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lang w:val="nn-NO"/>
        </w:rPr>
        <w:t>komiteer</w:t>
      </w:r>
      <w:proofErr w:type="spellEnd"/>
      <w:r>
        <w:rPr>
          <w:rFonts w:ascii="Calibri" w:hAnsi="Calibri" w:cs="Calibri"/>
          <w:b/>
          <w:sz w:val="22"/>
          <w:szCs w:val="22"/>
          <w:lang w:val="nn-NO"/>
        </w:rPr>
        <w:t>, FEK</w:t>
      </w:r>
    </w:p>
    <w:p w14:paraId="5C4D3F72" w14:textId="3C7A4EA8" w:rsidR="008340C9" w:rsidRDefault="00A43BFB" w:rsidP="00874D10">
      <w:pPr>
        <w:rPr>
          <w:rFonts w:ascii="Calibri" w:hAnsi="Calibri" w:cs="Calibri"/>
          <w:b/>
          <w:sz w:val="22"/>
          <w:szCs w:val="22"/>
        </w:rPr>
      </w:pPr>
      <w:hyperlink r:id="rId8" w:history="1">
        <w:r w:rsidR="008340C9" w:rsidRPr="00282649">
          <w:rPr>
            <w:rStyle w:val="Hyperkobling"/>
            <w:rFonts w:ascii="Calibri" w:hAnsi="Calibri" w:cs="Calibri"/>
            <w:b/>
            <w:sz w:val="22"/>
            <w:szCs w:val="22"/>
          </w:rPr>
          <w:t>post@forskningsetikk.no</w:t>
        </w:r>
      </w:hyperlink>
    </w:p>
    <w:p w14:paraId="1AB7D37F" w14:textId="315DF398" w:rsidR="00691512" w:rsidRPr="004B4F9D" w:rsidRDefault="007801F0" w:rsidP="00691512">
      <w:pPr>
        <w:rPr>
          <w:rFonts w:ascii="Calibri" w:hAnsi="Calibri" w:cs="Calibri"/>
          <w:sz w:val="22"/>
          <w:szCs w:val="22"/>
          <w:lang w:val="nn-NO"/>
        </w:rPr>
      </w:pPr>
      <w:r>
        <w:rPr>
          <w:lang w:val="nn-NO"/>
        </w:rPr>
        <w:tab/>
      </w:r>
      <w:r w:rsidR="00806BDE" w:rsidRPr="00262E46">
        <w:rPr>
          <w:lang w:val="nn-NO"/>
        </w:rPr>
        <w:tab/>
      </w:r>
      <w:r w:rsidR="00806BDE" w:rsidRPr="00262E46">
        <w:rPr>
          <w:lang w:val="nn-NO"/>
        </w:rPr>
        <w:tab/>
      </w:r>
      <w:r w:rsidR="00806BDE" w:rsidRPr="00262E46">
        <w:rPr>
          <w:lang w:val="nn-NO"/>
        </w:rPr>
        <w:tab/>
      </w:r>
      <w:r w:rsidR="00806BDE" w:rsidRPr="00262E46">
        <w:rPr>
          <w:lang w:val="nn-NO"/>
        </w:rPr>
        <w:tab/>
      </w:r>
      <w:r w:rsidR="00806BDE" w:rsidRPr="00262E46">
        <w:rPr>
          <w:lang w:val="nn-NO"/>
        </w:rPr>
        <w:tab/>
      </w:r>
      <w:r w:rsidR="00806BDE" w:rsidRPr="00262E46">
        <w:rPr>
          <w:lang w:val="nn-NO"/>
        </w:rPr>
        <w:tab/>
      </w:r>
      <w:r w:rsidR="00806BDE" w:rsidRPr="00262E46">
        <w:rPr>
          <w:lang w:val="nn-NO"/>
        </w:rPr>
        <w:tab/>
      </w:r>
      <w:r w:rsidR="00806BDE" w:rsidRPr="00262E46">
        <w:rPr>
          <w:lang w:val="nn-NO"/>
        </w:rPr>
        <w:tab/>
      </w:r>
      <w:r w:rsidR="00806BDE" w:rsidRPr="00262E46">
        <w:rPr>
          <w:lang w:val="nn-NO"/>
        </w:rPr>
        <w:tab/>
      </w:r>
      <w:r w:rsidR="00742A02" w:rsidRPr="00262E46">
        <w:rPr>
          <w:lang w:val="nn-NO"/>
        </w:rPr>
        <w:t xml:space="preserve">         </w:t>
      </w:r>
      <w:r w:rsidR="00742A02" w:rsidRPr="004B4F9D">
        <w:rPr>
          <w:rFonts w:ascii="Calibri" w:hAnsi="Calibri" w:cs="Calibri"/>
          <w:sz w:val="22"/>
          <w:szCs w:val="22"/>
          <w:lang w:val="nn-NO"/>
        </w:rPr>
        <w:t>Oslo</w:t>
      </w:r>
      <w:r w:rsidR="00A25B4A" w:rsidRPr="004B4F9D">
        <w:rPr>
          <w:rFonts w:ascii="Calibri" w:hAnsi="Calibri" w:cs="Calibri"/>
          <w:sz w:val="22"/>
          <w:szCs w:val="22"/>
          <w:lang w:val="nn-NO"/>
        </w:rPr>
        <w:t>,</w:t>
      </w:r>
      <w:r w:rsidR="00742A02" w:rsidRPr="004B4F9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2819AF">
        <w:rPr>
          <w:rFonts w:ascii="Calibri" w:hAnsi="Calibri" w:cs="Calibri"/>
          <w:sz w:val="22"/>
          <w:szCs w:val="22"/>
          <w:lang w:val="nn-NO"/>
        </w:rPr>
        <w:t>14</w:t>
      </w:r>
      <w:r w:rsidR="00996A8C">
        <w:rPr>
          <w:rFonts w:ascii="Calibri" w:hAnsi="Calibri" w:cs="Calibri"/>
          <w:sz w:val="22"/>
          <w:szCs w:val="22"/>
          <w:lang w:val="nn-NO"/>
        </w:rPr>
        <w:t>.</w:t>
      </w:r>
      <w:r w:rsidR="005B4B65">
        <w:rPr>
          <w:rFonts w:ascii="Calibri" w:hAnsi="Calibri" w:cs="Calibri"/>
          <w:sz w:val="22"/>
          <w:szCs w:val="22"/>
          <w:lang w:val="nn-NO"/>
        </w:rPr>
        <w:t>8</w:t>
      </w:r>
      <w:r w:rsidR="00FB1296">
        <w:rPr>
          <w:rFonts w:ascii="Calibri" w:hAnsi="Calibri" w:cs="Calibri"/>
          <w:sz w:val="22"/>
          <w:szCs w:val="22"/>
          <w:lang w:val="nn-NO"/>
        </w:rPr>
        <w:t>.202</w:t>
      </w:r>
      <w:r w:rsidR="00983483">
        <w:rPr>
          <w:rFonts w:ascii="Calibri" w:hAnsi="Calibri" w:cs="Calibri"/>
          <w:sz w:val="22"/>
          <w:szCs w:val="22"/>
          <w:lang w:val="nn-NO"/>
        </w:rPr>
        <w:t>3</w:t>
      </w:r>
    </w:p>
    <w:p w14:paraId="5F582078" w14:textId="77777777" w:rsidR="00301D1D" w:rsidRDefault="00301D1D" w:rsidP="00FB1296">
      <w:pP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</w:pPr>
    </w:p>
    <w:p w14:paraId="65C6E9B1" w14:textId="54D736A4" w:rsidR="00FB1296" w:rsidRPr="00EC64BE" w:rsidRDefault="00EC64BE" w:rsidP="00FB1296">
      <w:pPr>
        <w:rPr>
          <w:rFonts w:asciiTheme="majorHAnsi" w:hAnsiTheme="majorHAnsi"/>
          <w:sz w:val="22"/>
          <w:szCs w:val="22"/>
        </w:rPr>
      </w:pPr>
      <w:r w:rsidRPr="00EC64BE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Høringssvar til "Forskningsetiske retningslinjer f</w:t>
      </w:r>
      <w:r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or naturvitenskap og teknologi"</w:t>
      </w:r>
    </w:p>
    <w:p w14:paraId="6ACBEE9E" w14:textId="77777777" w:rsidR="00ED0074" w:rsidRPr="0087014F" w:rsidRDefault="00ED0074" w:rsidP="00ED0074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C7FCD7" w14:textId="24C94F18" w:rsidR="00A8753E" w:rsidRPr="0087014F" w:rsidRDefault="00A8753E" w:rsidP="00ED0074">
      <w:pPr>
        <w:spacing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87014F">
        <w:rPr>
          <w:rFonts w:ascii="Calibri" w:eastAsia="Calibri" w:hAnsi="Calibri"/>
          <w:i/>
          <w:iCs/>
          <w:sz w:val="22"/>
          <w:szCs w:val="22"/>
          <w:lang w:eastAsia="en-US"/>
        </w:rPr>
        <w:t>Innledning</w:t>
      </w:r>
    </w:p>
    <w:p w14:paraId="5A5B27F7" w14:textId="3284A540" w:rsidR="00645904" w:rsidRPr="0087014F" w:rsidRDefault="00A43BFB" w:rsidP="00645904">
      <w:pPr>
        <w:spacing w:line="264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  <w:hyperlink r:id="rId9" w:history="1">
        <w:r w:rsidR="00645904" w:rsidRPr="0087014F">
          <w:rPr>
            <w:rStyle w:val="Hyperkobling"/>
            <w:rFonts w:asciiTheme="minorHAnsi" w:eastAsia="Calibri" w:hAnsiTheme="minorHAnsi" w:cstheme="minorHAnsi"/>
            <w:sz w:val="22"/>
            <w:szCs w:val="22"/>
          </w:rPr>
          <w:t>Forskningsinstituttenes fellesarena, FFA</w:t>
        </w:r>
      </w:hyperlink>
      <w:r w:rsidR="00645904" w:rsidRPr="0087014F">
        <w:rPr>
          <w:rFonts w:asciiTheme="minorHAnsi" w:eastAsia="Calibri" w:hAnsiTheme="minorHAnsi" w:cstheme="minorHAnsi"/>
          <w:sz w:val="22"/>
          <w:szCs w:val="22"/>
        </w:rPr>
        <w:t xml:space="preserve"> representerer de 33 selvstendige forskningsinstitutter og -konsern som </w:t>
      </w:r>
      <w:r w:rsidR="0004354D" w:rsidRPr="0087014F">
        <w:rPr>
          <w:rFonts w:asciiTheme="minorHAnsi" w:eastAsia="Calibri" w:hAnsiTheme="minorHAnsi" w:cstheme="minorHAnsi"/>
          <w:sz w:val="22"/>
          <w:szCs w:val="22"/>
        </w:rPr>
        <w:t>mottar</w:t>
      </w:r>
      <w:r w:rsidR="00645904" w:rsidRPr="0087014F">
        <w:rPr>
          <w:rFonts w:asciiTheme="minorHAnsi" w:eastAsia="Calibri" w:hAnsiTheme="minorHAnsi" w:cstheme="minorHAnsi"/>
          <w:sz w:val="22"/>
          <w:szCs w:val="22"/>
        </w:rPr>
        <w:t xml:space="preserve"> grunnfinansiering fra Forskningsrådet, </w:t>
      </w:r>
      <w:r w:rsidR="0004354D" w:rsidRPr="0087014F">
        <w:rPr>
          <w:rFonts w:asciiTheme="minorHAnsi" w:eastAsia="Calibri" w:hAnsiTheme="minorHAnsi" w:cstheme="minorHAnsi"/>
          <w:sz w:val="22"/>
          <w:szCs w:val="22"/>
        </w:rPr>
        <w:t>samlet</w:t>
      </w:r>
      <w:r w:rsidR="00645904" w:rsidRPr="0087014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37E61" w:rsidRPr="0087014F">
        <w:rPr>
          <w:rFonts w:asciiTheme="minorHAnsi" w:eastAsia="Calibri" w:hAnsiTheme="minorHAnsi" w:cstheme="minorHAnsi"/>
          <w:sz w:val="22"/>
          <w:szCs w:val="22"/>
        </w:rPr>
        <w:t>72</w:t>
      </w:r>
      <w:r w:rsidR="00645904" w:rsidRPr="0087014F">
        <w:rPr>
          <w:rFonts w:asciiTheme="minorHAnsi" w:eastAsia="Calibri" w:hAnsiTheme="minorHAnsi" w:cstheme="minorHAnsi"/>
          <w:sz w:val="22"/>
          <w:szCs w:val="22"/>
        </w:rPr>
        <w:t xml:space="preserve">00 årsverk og 11 mrd. kr i </w:t>
      </w:r>
      <w:r w:rsidR="0004354D" w:rsidRPr="0087014F">
        <w:rPr>
          <w:rFonts w:asciiTheme="minorHAnsi" w:eastAsia="Calibri" w:hAnsiTheme="minorHAnsi" w:cstheme="minorHAnsi"/>
          <w:sz w:val="22"/>
          <w:szCs w:val="22"/>
        </w:rPr>
        <w:t xml:space="preserve">årlig </w:t>
      </w:r>
      <w:r w:rsidR="00645904" w:rsidRPr="0087014F">
        <w:rPr>
          <w:rFonts w:asciiTheme="minorHAnsi" w:eastAsia="Calibri" w:hAnsiTheme="minorHAnsi" w:cstheme="minorHAnsi"/>
          <w:sz w:val="22"/>
          <w:szCs w:val="22"/>
        </w:rPr>
        <w:t>omsetning, derav 1,2 mrd. kr fra utlandet.</w:t>
      </w:r>
      <w:r w:rsidR="00645904" w:rsidRPr="0087014F">
        <w:rPr>
          <w:rFonts w:asciiTheme="minorHAnsi" w:hAnsiTheme="minorHAnsi" w:cstheme="minorHAnsi"/>
          <w:sz w:val="22"/>
          <w:szCs w:val="22"/>
        </w:rPr>
        <w:t xml:space="preserve"> </w:t>
      </w:r>
      <w:r w:rsidR="00155434" w:rsidRPr="0087014F">
        <w:rPr>
          <w:rFonts w:asciiTheme="minorHAnsi" w:hAnsiTheme="minorHAnsi" w:cstheme="minorHAnsi"/>
          <w:sz w:val="22"/>
          <w:szCs w:val="22"/>
        </w:rPr>
        <w:t>Forskningsinstituttene arbeider i stor grad tverrfaglig</w:t>
      </w:r>
      <w:r w:rsidR="004937A6" w:rsidRPr="0087014F">
        <w:rPr>
          <w:rFonts w:asciiTheme="minorHAnsi" w:hAnsiTheme="minorHAnsi" w:cstheme="minorHAnsi"/>
          <w:sz w:val="22"/>
          <w:szCs w:val="22"/>
        </w:rPr>
        <w:t xml:space="preserve">, men </w:t>
      </w:r>
      <w:proofErr w:type="spellStart"/>
      <w:r w:rsidR="004937A6" w:rsidRPr="0087014F">
        <w:rPr>
          <w:rFonts w:asciiTheme="minorHAnsi" w:hAnsiTheme="minorHAnsi" w:cstheme="minorHAnsi"/>
          <w:sz w:val="22"/>
          <w:szCs w:val="22"/>
        </w:rPr>
        <w:t>NENTs</w:t>
      </w:r>
      <w:proofErr w:type="spellEnd"/>
      <w:r w:rsidR="004937A6" w:rsidRPr="0087014F">
        <w:rPr>
          <w:rFonts w:asciiTheme="minorHAnsi" w:hAnsiTheme="minorHAnsi" w:cstheme="minorHAnsi"/>
          <w:sz w:val="22"/>
          <w:szCs w:val="22"/>
        </w:rPr>
        <w:t xml:space="preserve"> retningslinjer vi</w:t>
      </w:r>
      <w:r w:rsidR="00A23958" w:rsidRPr="0087014F">
        <w:rPr>
          <w:rFonts w:asciiTheme="minorHAnsi" w:hAnsiTheme="minorHAnsi" w:cstheme="minorHAnsi"/>
          <w:sz w:val="22"/>
          <w:szCs w:val="22"/>
        </w:rPr>
        <w:t>l</w:t>
      </w:r>
      <w:r w:rsidR="004937A6" w:rsidRPr="0087014F">
        <w:rPr>
          <w:rFonts w:asciiTheme="minorHAnsi" w:hAnsiTheme="minorHAnsi" w:cstheme="minorHAnsi"/>
          <w:sz w:val="22"/>
          <w:szCs w:val="22"/>
        </w:rPr>
        <w:t xml:space="preserve"> særlig være </w:t>
      </w:r>
      <w:r w:rsidR="0004354D" w:rsidRPr="0087014F">
        <w:rPr>
          <w:rFonts w:asciiTheme="minorHAnsi" w:hAnsiTheme="minorHAnsi" w:cstheme="minorHAnsi"/>
          <w:sz w:val="22"/>
          <w:szCs w:val="22"/>
        </w:rPr>
        <w:t>sentrale</w:t>
      </w:r>
      <w:r w:rsidR="004937A6" w:rsidRPr="0087014F">
        <w:rPr>
          <w:rFonts w:asciiTheme="minorHAnsi" w:hAnsiTheme="minorHAnsi" w:cstheme="minorHAnsi"/>
          <w:sz w:val="22"/>
          <w:szCs w:val="22"/>
        </w:rPr>
        <w:t xml:space="preserve"> for </w:t>
      </w:r>
      <w:r w:rsidR="00056898" w:rsidRPr="0087014F">
        <w:rPr>
          <w:rFonts w:asciiTheme="minorHAnsi" w:hAnsiTheme="minorHAnsi" w:cstheme="minorHAnsi"/>
          <w:sz w:val="22"/>
          <w:szCs w:val="22"/>
        </w:rPr>
        <w:t xml:space="preserve">noen </w:t>
      </w:r>
      <w:r w:rsidR="004937A6" w:rsidRPr="0087014F">
        <w:rPr>
          <w:rFonts w:asciiTheme="minorHAnsi" w:hAnsiTheme="minorHAnsi" w:cstheme="minorHAnsi"/>
          <w:sz w:val="22"/>
          <w:szCs w:val="22"/>
        </w:rPr>
        <w:t xml:space="preserve">forskningsinstitutter som SINTEF, NORCE, IFE, </w:t>
      </w:r>
      <w:r w:rsidR="003151FC" w:rsidRPr="0087014F">
        <w:rPr>
          <w:rFonts w:asciiTheme="minorHAnsi" w:hAnsiTheme="minorHAnsi" w:cstheme="minorHAnsi"/>
          <w:sz w:val="22"/>
          <w:szCs w:val="22"/>
        </w:rPr>
        <w:t>NORSAR, NOFIMA, NIBIO, NINA, NILU, NIVA, CICERO mfl.</w:t>
      </w:r>
      <w:r w:rsidR="00FC3BB0" w:rsidRPr="0087014F">
        <w:rPr>
          <w:rFonts w:asciiTheme="minorHAnsi" w:hAnsiTheme="minorHAnsi" w:cstheme="minorHAnsi"/>
          <w:sz w:val="22"/>
          <w:szCs w:val="22"/>
        </w:rPr>
        <w:t xml:space="preserve"> </w:t>
      </w:r>
      <w:r w:rsidR="00645904" w:rsidRPr="0087014F">
        <w:rPr>
          <w:rFonts w:asciiTheme="minorHAnsi" w:eastAsia="Calibri" w:hAnsiTheme="minorHAnsi" w:cstheme="minorHAnsi"/>
          <w:sz w:val="22"/>
          <w:szCs w:val="22"/>
        </w:rPr>
        <w:t xml:space="preserve">Forskningsinstituttenes samfunnsoppdrag er bl.a. beskrevet i Regjeringens </w:t>
      </w:r>
      <w:hyperlink r:id="rId10" w:history="1">
        <w:r w:rsidR="00645904" w:rsidRPr="0087014F">
          <w:rPr>
            <w:rFonts w:asciiTheme="minorHAnsi" w:hAnsiTheme="minorHAnsi" w:cstheme="minorHAnsi"/>
            <w:color w:val="0000FF"/>
            <w:sz w:val="22"/>
            <w:szCs w:val="22"/>
            <w:u w:val="single"/>
            <w:shd w:val="clear" w:color="auto" w:fill="FFFFFF"/>
          </w:rPr>
          <w:t>Strategi for helhetlig instituttpolitikk</w:t>
        </w:r>
      </w:hyperlink>
      <w:r w:rsidR="00645904" w:rsidRPr="0087014F">
        <w:rPr>
          <w:rFonts w:asciiTheme="minorHAnsi" w:eastAsia="Calibri" w:hAnsiTheme="minorHAnsi" w:cstheme="minorHAnsi"/>
          <w:sz w:val="22"/>
          <w:szCs w:val="22"/>
        </w:rPr>
        <w:t xml:space="preserve"> (2020): </w:t>
      </w:r>
      <w:r w:rsidR="00645904" w:rsidRPr="0087014F">
        <w:rPr>
          <w:rFonts w:asciiTheme="minorHAnsi" w:eastAsia="Calibri" w:hAnsiTheme="minorHAnsi" w:cstheme="minorHAnsi"/>
          <w:i/>
          <w:iCs/>
          <w:sz w:val="22"/>
          <w:szCs w:val="22"/>
        </w:rPr>
        <w:t>Instituttsektoren skal utvikle kunnskapsgrunnlag for politikkutforming og bidra til bærekraftig utvikling og omstilling, gjennom forskning av høy kvalitet og relevans.</w:t>
      </w:r>
    </w:p>
    <w:p w14:paraId="5D99FC17" w14:textId="77777777" w:rsidR="00437E61" w:rsidRPr="0087014F" w:rsidRDefault="00437E61" w:rsidP="00645904">
      <w:pPr>
        <w:spacing w:line="264" w:lineRule="auto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D06DEA8" w14:textId="1B2085CE" w:rsidR="00CA209D" w:rsidRPr="00F57BA9" w:rsidRDefault="00974DE4" w:rsidP="00CA209D">
      <w:pPr>
        <w:spacing w:line="264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FFA takker for muligheten til å gi </w:t>
      </w:r>
      <w:r w:rsidR="00CA209D">
        <w:rPr>
          <w:rFonts w:asciiTheme="minorHAnsi" w:eastAsia="Calibri" w:hAnsiTheme="minorHAnsi" w:cstheme="minorHAnsi"/>
          <w:sz w:val="22"/>
          <w:szCs w:val="22"/>
        </w:rPr>
        <w:t xml:space="preserve">høringssvar til </w:t>
      </w:r>
      <w:r w:rsidR="00CA209D" w:rsidRPr="00CA209D">
        <w:rPr>
          <w:rFonts w:asciiTheme="minorHAnsi" w:eastAsia="Calibri" w:hAnsiTheme="minorHAnsi" w:cstheme="minorHAnsi"/>
          <w:sz w:val="22"/>
          <w:szCs w:val="22"/>
        </w:rPr>
        <w:t xml:space="preserve">revidert utgave av </w:t>
      </w:r>
      <w:r w:rsidR="00CA209D" w:rsidRPr="00CA209D">
        <w:rPr>
          <w:rFonts w:asciiTheme="minorHAnsi" w:eastAsia="Calibri" w:hAnsiTheme="minorHAnsi" w:cstheme="minorHAnsi"/>
          <w:i/>
          <w:iCs/>
          <w:sz w:val="22"/>
          <w:szCs w:val="22"/>
        </w:rPr>
        <w:t>Forskningsetiske retningslinjer for naturvitenskap og teknologi</w:t>
      </w:r>
      <w:r w:rsidR="005D5DD8">
        <w:rPr>
          <w:rFonts w:asciiTheme="minorHAnsi" w:eastAsia="Calibri" w:hAnsiTheme="minorHAnsi" w:cstheme="minorHAnsi"/>
          <w:sz w:val="22"/>
          <w:szCs w:val="22"/>
        </w:rPr>
        <w:t>.</w:t>
      </w:r>
      <w:r w:rsidR="00745A93">
        <w:rPr>
          <w:rFonts w:asciiTheme="minorHAnsi" w:eastAsia="Calibri" w:hAnsiTheme="minorHAnsi" w:cstheme="minorHAnsi"/>
          <w:sz w:val="22"/>
          <w:szCs w:val="22"/>
        </w:rPr>
        <w:t xml:space="preserve"> Vi har tidligere gitt</w:t>
      </w:r>
      <w:r w:rsidR="00E92316">
        <w:rPr>
          <w:rFonts w:asciiTheme="minorHAnsi" w:eastAsia="Calibri" w:hAnsiTheme="minorHAnsi" w:cstheme="minorHAnsi"/>
          <w:sz w:val="22"/>
          <w:szCs w:val="22"/>
        </w:rPr>
        <w:t xml:space="preserve"> høringsinnspill til </w:t>
      </w:r>
      <w:r w:rsidR="00FB5A07">
        <w:rPr>
          <w:rFonts w:asciiTheme="minorHAnsi" w:eastAsia="Calibri" w:hAnsiTheme="minorHAnsi" w:cstheme="minorHAnsi"/>
          <w:sz w:val="22"/>
          <w:szCs w:val="22"/>
        </w:rPr>
        <w:t xml:space="preserve">NENT forskningsetiske retningslinjer </w:t>
      </w:r>
      <w:r w:rsidR="0004354D">
        <w:rPr>
          <w:rFonts w:asciiTheme="minorHAnsi" w:eastAsia="Calibri" w:hAnsiTheme="minorHAnsi" w:cstheme="minorHAnsi"/>
          <w:sz w:val="22"/>
          <w:szCs w:val="22"/>
        </w:rPr>
        <w:t xml:space="preserve">bl.a. </w:t>
      </w:r>
      <w:r w:rsidR="00FB5A07">
        <w:rPr>
          <w:rFonts w:asciiTheme="minorHAnsi" w:eastAsia="Calibri" w:hAnsiTheme="minorHAnsi" w:cstheme="minorHAnsi"/>
          <w:sz w:val="22"/>
          <w:szCs w:val="22"/>
        </w:rPr>
        <w:t>i 2015</w:t>
      </w:r>
      <w:r w:rsidR="00945BBB">
        <w:rPr>
          <w:rFonts w:asciiTheme="minorHAnsi" w:eastAsia="Calibri" w:hAnsiTheme="minorHAnsi" w:cstheme="minorHAnsi"/>
          <w:sz w:val="22"/>
          <w:szCs w:val="22"/>
        </w:rPr>
        <w:t>. Vi ser at retningslinje</w:t>
      </w:r>
      <w:r w:rsidR="00037111">
        <w:rPr>
          <w:rFonts w:asciiTheme="minorHAnsi" w:eastAsia="Calibri" w:hAnsiTheme="minorHAnsi" w:cstheme="minorHAnsi"/>
          <w:sz w:val="22"/>
          <w:szCs w:val="22"/>
        </w:rPr>
        <w:t>ne</w:t>
      </w:r>
      <w:r w:rsidR="00945BBB">
        <w:rPr>
          <w:rFonts w:asciiTheme="minorHAnsi" w:eastAsia="Calibri" w:hAnsiTheme="minorHAnsi" w:cstheme="minorHAnsi"/>
          <w:sz w:val="22"/>
          <w:szCs w:val="22"/>
        </w:rPr>
        <w:t xml:space="preserve"> som nå foreligger </w:t>
      </w:r>
      <w:r w:rsidR="00037111">
        <w:rPr>
          <w:rFonts w:asciiTheme="minorHAnsi" w:eastAsia="Calibri" w:hAnsiTheme="minorHAnsi" w:cstheme="minorHAnsi"/>
          <w:sz w:val="22"/>
          <w:szCs w:val="22"/>
        </w:rPr>
        <w:t xml:space="preserve">er vesentlig </w:t>
      </w:r>
      <w:r w:rsidR="00A34D0A">
        <w:rPr>
          <w:rFonts w:asciiTheme="minorHAnsi" w:eastAsia="Calibri" w:hAnsiTheme="minorHAnsi" w:cstheme="minorHAnsi"/>
          <w:sz w:val="22"/>
          <w:szCs w:val="22"/>
        </w:rPr>
        <w:t>utvikla</w:t>
      </w:r>
      <w:r w:rsidR="00037111">
        <w:rPr>
          <w:rFonts w:asciiTheme="minorHAnsi" w:eastAsia="Calibri" w:hAnsiTheme="minorHAnsi" w:cstheme="minorHAnsi"/>
          <w:sz w:val="22"/>
          <w:szCs w:val="22"/>
        </w:rPr>
        <w:t xml:space="preserve"> med hensyn til viktige områder</w:t>
      </w:r>
      <w:r w:rsidR="00A34D0A">
        <w:rPr>
          <w:rFonts w:asciiTheme="minorHAnsi" w:eastAsia="Calibri" w:hAnsiTheme="minorHAnsi" w:cstheme="minorHAnsi"/>
          <w:sz w:val="22"/>
          <w:szCs w:val="22"/>
        </w:rPr>
        <w:t xml:space="preserve"> s</w:t>
      </w:r>
      <w:r w:rsidR="004857A2">
        <w:rPr>
          <w:rFonts w:asciiTheme="minorHAnsi" w:eastAsia="Calibri" w:hAnsiTheme="minorHAnsi" w:cstheme="minorHAnsi"/>
          <w:sz w:val="22"/>
          <w:szCs w:val="22"/>
        </w:rPr>
        <w:t xml:space="preserve">om </w:t>
      </w:r>
      <w:r w:rsidR="00E64484">
        <w:rPr>
          <w:rFonts w:asciiTheme="minorHAnsi" w:eastAsia="Calibri" w:hAnsiTheme="minorHAnsi" w:cstheme="minorHAnsi"/>
          <w:sz w:val="22"/>
          <w:szCs w:val="22"/>
        </w:rPr>
        <w:t xml:space="preserve">for eksempel føre-var prinsippet, </w:t>
      </w:r>
      <w:r w:rsidR="0062601E">
        <w:rPr>
          <w:rFonts w:asciiTheme="minorHAnsi" w:eastAsia="Calibri" w:hAnsiTheme="minorHAnsi" w:cstheme="minorHAnsi"/>
          <w:sz w:val="22"/>
          <w:szCs w:val="22"/>
        </w:rPr>
        <w:t xml:space="preserve">åpenhet og </w:t>
      </w:r>
      <w:r w:rsidR="006058C7">
        <w:rPr>
          <w:rFonts w:asciiTheme="minorHAnsi" w:eastAsia="Calibri" w:hAnsiTheme="minorHAnsi" w:cstheme="minorHAnsi"/>
          <w:sz w:val="22"/>
          <w:szCs w:val="22"/>
        </w:rPr>
        <w:t xml:space="preserve">oppdragsforskning. </w:t>
      </w:r>
      <w:r w:rsidR="00D54181">
        <w:rPr>
          <w:rFonts w:asciiTheme="minorHAnsi" w:eastAsia="Calibri" w:hAnsiTheme="minorHAnsi" w:cstheme="minorHAnsi"/>
          <w:sz w:val="22"/>
          <w:szCs w:val="22"/>
        </w:rPr>
        <w:t xml:space="preserve">Bl.a. mener vi det er </w:t>
      </w:r>
      <w:r w:rsidR="00901391">
        <w:rPr>
          <w:rFonts w:asciiTheme="minorHAnsi" w:eastAsia="Calibri" w:hAnsiTheme="minorHAnsi" w:cstheme="minorHAnsi"/>
          <w:sz w:val="22"/>
          <w:szCs w:val="22"/>
        </w:rPr>
        <w:t xml:space="preserve">bra at retningslinjene har et "Sammendrag", en kortversjon som </w:t>
      </w:r>
      <w:r w:rsidR="00056898">
        <w:rPr>
          <w:rFonts w:asciiTheme="minorHAnsi" w:eastAsia="Calibri" w:hAnsiTheme="minorHAnsi" w:cstheme="minorHAnsi"/>
          <w:sz w:val="22"/>
          <w:szCs w:val="22"/>
        </w:rPr>
        <w:t>kan fungere som</w:t>
      </w:r>
      <w:r w:rsidR="00901391">
        <w:rPr>
          <w:rFonts w:asciiTheme="minorHAnsi" w:eastAsia="Calibri" w:hAnsiTheme="minorHAnsi" w:cstheme="minorHAnsi"/>
          <w:sz w:val="22"/>
          <w:szCs w:val="22"/>
        </w:rPr>
        <w:t xml:space="preserve"> huskeliste i hverdagen</w:t>
      </w:r>
      <w:r w:rsidR="003508A6">
        <w:rPr>
          <w:rFonts w:asciiTheme="minorHAnsi" w:eastAsia="Calibri" w:hAnsiTheme="minorHAnsi" w:cstheme="minorHAnsi"/>
          <w:sz w:val="22"/>
          <w:szCs w:val="22"/>
        </w:rPr>
        <w:t>, og med utfyllende beskrivelser. Det tror vi vil bidra til å øke b</w:t>
      </w:r>
      <w:r w:rsidR="001107EB">
        <w:rPr>
          <w:rFonts w:asciiTheme="minorHAnsi" w:eastAsia="Calibri" w:hAnsiTheme="minorHAnsi" w:cstheme="minorHAnsi"/>
          <w:sz w:val="22"/>
          <w:szCs w:val="22"/>
        </w:rPr>
        <w:t xml:space="preserve">evisstheten og </w:t>
      </w:r>
      <w:r w:rsidR="009974B8">
        <w:rPr>
          <w:rFonts w:asciiTheme="minorHAnsi" w:eastAsia="Calibri" w:hAnsiTheme="minorHAnsi" w:cstheme="minorHAnsi"/>
          <w:sz w:val="22"/>
          <w:szCs w:val="22"/>
        </w:rPr>
        <w:t>anvendeligheten</w:t>
      </w:r>
      <w:r w:rsidR="001107EB">
        <w:rPr>
          <w:rFonts w:asciiTheme="minorHAnsi" w:eastAsia="Calibri" w:hAnsiTheme="minorHAnsi" w:cstheme="minorHAnsi"/>
          <w:sz w:val="22"/>
          <w:szCs w:val="22"/>
        </w:rPr>
        <w:t xml:space="preserve"> av retningslinjene</w:t>
      </w:r>
      <w:r w:rsidR="00BC598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974B8">
        <w:rPr>
          <w:rFonts w:asciiTheme="minorHAnsi" w:eastAsia="Calibri" w:hAnsiTheme="minorHAnsi" w:cstheme="minorHAnsi"/>
          <w:sz w:val="22"/>
          <w:szCs w:val="22"/>
        </w:rPr>
        <w:t xml:space="preserve">for </w:t>
      </w:r>
      <w:r w:rsidR="00BC598B">
        <w:rPr>
          <w:rFonts w:asciiTheme="minorHAnsi" w:eastAsia="Calibri" w:hAnsiTheme="minorHAnsi" w:cstheme="minorHAnsi"/>
          <w:sz w:val="22"/>
          <w:szCs w:val="22"/>
        </w:rPr>
        <w:t>forskere</w:t>
      </w:r>
      <w:r w:rsidR="001107EB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1812ED">
        <w:rPr>
          <w:rFonts w:asciiTheme="minorHAnsi" w:eastAsia="Calibri" w:hAnsiTheme="minorHAnsi" w:cstheme="minorHAnsi"/>
          <w:sz w:val="22"/>
          <w:szCs w:val="22"/>
        </w:rPr>
        <w:t xml:space="preserve">Vi mener gjennomgående at retningslinjene har fått et godt løft </w:t>
      </w:r>
      <w:r w:rsidR="004A76FB">
        <w:rPr>
          <w:rFonts w:asciiTheme="minorHAnsi" w:eastAsia="Calibri" w:hAnsiTheme="minorHAnsi" w:cstheme="minorHAnsi"/>
          <w:sz w:val="22"/>
          <w:szCs w:val="22"/>
        </w:rPr>
        <w:t xml:space="preserve">gjennom tydelige og nyanserte omtaler. </w:t>
      </w:r>
      <w:r w:rsidR="001107EB">
        <w:rPr>
          <w:rFonts w:asciiTheme="minorHAnsi" w:eastAsia="Calibri" w:hAnsiTheme="minorHAnsi" w:cstheme="minorHAnsi"/>
          <w:sz w:val="22"/>
          <w:szCs w:val="22"/>
        </w:rPr>
        <w:t>I det følgende vil vi</w:t>
      </w:r>
      <w:r w:rsidR="00616B5B">
        <w:rPr>
          <w:rFonts w:asciiTheme="minorHAnsi" w:eastAsia="Calibri" w:hAnsiTheme="minorHAnsi" w:cstheme="minorHAnsi"/>
          <w:sz w:val="22"/>
          <w:szCs w:val="22"/>
        </w:rPr>
        <w:t xml:space="preserve"> peke </w:t>
      </w:r>
      <w:r w:rsidR="005E7071">
        <w:rPr>
          <w:rFonts w:asciiTheme="minorHAnsi" w:eastAsia="Calibri" w:hAnsiTheme="minorHAnsi" w:cstheme="minorHAnsi"/>
          <w:sz w:val="22"/>
          <w:szCs w:val="22"/>
        </w:rPr>
        <w:t>på noen områder</w:t>
      </w:r>
      <w:r w:rsidR="00616B5B">
        <w:rPr>
          <w:rFonts w:asciiTheme="minorHAnsi" w:eastAsia="Calibri" w:hAnsiTheme="minorHAnsi" w:cstheme="minorHAnsi"/>
          <w:sz w:val="22"/>
          <w:szCs w:val="22"/>
        </w:rPr>
        <w:t xml:space="preserve"> hvor vi</w:t>
      </w:r>
      <w:r w:rsidR="005E7071">
        <w:rPr>
          <w:rFonts w:asciiTheme="minorHAnsi" w:eastAsia="Calibri" w:hAnsiTheme="minorHAnsi" w:cstheme="minorHAnsi"/>
          <w:sz w:val="22"/>
          <w:szCs w:val="22"/>
        </w:rPr>
        <w:t xml:space="preserve"> etterlyse</w:t>
      </w:r>
      <w:r w:rsidR="00616B5B">
        <w:rPr>
          <w:rFonts w:asciiTheme="minorHAnsi" w:eastAsia="Calibri" w:hAnsiTheme="minorHAnsi" w:cstheme="minorHAnsi"/>
          <w:sz w:val="22"/>
          <w:szCs w:val="22"/>
        </w:rPr>
        <w:t xml:space="preserve">r </w:t>
      </w:r>
      <w:r w:rsidR="005E7071">
        <w:rPr>
          <w:rFonts w:asciiTheme="minorHAnsi" w:eastAsia="Calibri" w:hAnsiTheme="minorHAnsi" w:cstheme="minorHAnsi"/>
          <w:sz w:val="22"/>
          <w:szCs w:val="22"/>
        </w:rPr>
        <w:t xml:space="preserve">justeringer. </w:t>
      </w:r>
    </w:p>
    <w:p w14:paraId="72118FB4" w14:textId="0FBBB3CD" w:rsidR="007416E1" w:rsidRDefault="007416E1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7847C9" w14:textId="4005991F" w:rsidR="001B2B90" w:rsidRPr="005970F3" w:rsidRDefault="001B2B90" w:rsidP="006A3005">
      <w:pPr>
        <w:spacing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5970F3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Samordning av </w:t>
      </w:r>
      <w:r w:rsidR="005970F3" w:rsidRPr="005970F3">
        <w:rPr>
          <w:rFonts w:ascii="Calibri" w:eastAsia="Calibri" w:hAnsi="Calibri"/>
          <w:i/>
          <w:iCs/>
          <w:sz w:val="22"/>
          <w:szCs w:val="22"/>
          <w:lang w:eastAsia="en-US"/>
        </w:rPr>
        <w:t>forskningsetiske retningslinjer</w:t>
      </w:r>
      <w:r w:rsidR="009A7D48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for NESH og NENT</w:t>
      </w:r>
    </w:p>
    <w:p w14:paraId="0EAC449F" w14:textId="6A4AF243" w:rsidR="00996952" w:rsidRDefault="00CB5ED2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FFA er enig</w:t>
      </w:r>
      <w:r w:rsidR="00382D75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>
        <w:rPr>
          <w:rFonts w:ascii="Calibri" w:eastAsia="Calibri" w:hAnsi="Calibri"/>
          <w:sz w:val="22"/>
          <w:szCs w:val="22"/>
          <w:lang w:eastAsia="en-US"/>
        </w:rPr>
        <w:t xml:space="preserve"> at forskning i økende grad utøves i et tverrfaglig samarbeid</w:t>
      </w:r>
      <w:r w:rsidR="00A125C8">
        <w:rPr>
          <w:rFonts w:ascii="Calibri" w:eastAsia="Calibri" w:hAnsi="Calibri"/>
          <w:sz w:val="22"/>
          <w:szCs w:val="22"/>
          <w:lang w:eastAsia="en-US"/>
        </w:rPr>
        <w:t>, som</w:t>
      </w:r>
      <w:r w:rsidR="00382D75">
        <w:rPr>
          <w:rFonts w:ascii="Calibri" w:eastAsia="Calibri" w:hAnsi="Calibri"/>
          <w:sz w:val="22"/>
          <w:szCs w:val="22"/>
          <w:lang w:eastAsia="en-US"/>
        </w:rPr>
        <w:t xml:space="preserve"> fordrer at en forholder</w:t>
      </w:r>
      <w:r w:rsidR="00056898">
        <w:rPr>
          <w:rFonts w:ascii="Calibri" w:eastAsia="Calibri" w:hAnsi="Calibri"/>
          <w:sz w:val="22"/>
          <w:szCs w:val="22"/>
          <w:lang w:eastAsia="en-US"/>
        </w:rPr>
        <w:t xml:space="preserve"> seg</w:t>
      </w:r>
      <w:r w:rsidR="00382D75">
        <w:rPr>
          <w:rFonts w:ascii="Calibri" w:eastAsia="Calibri" w:hAnsi="Calibri"/>
          <w:sz w:val="22"/>
          <w:szCs w:val="22"/>
          <w:lang w:eastAsia="en-US"/>
        </w:rPr>
        <w:t xml:space="preserve"> til forskning</w:t>
      </w:r>
      <w:r w:rsidR="004959E1">
        <w:rPr>
          <w:rFonts w:ascii="Calibri" w:eastAsia="Calibri" w:hAnsi="Calibri"/>
          <w:sz w:val="22"/>
          <w:szCs w:val="22"/>
          <w:lang w:eastAsia="en-US"/>
        </w:rPr>
        <w:t>s</w:t>
      </w:r>
      <w:r w:rsidR="00382D75">
        <w:rPr>
          <w:rFonts w:ascii="Calibri" w:eastAsia="Calibri" w:hAnsi="Calibri"/>
          <w:sz w:val="22"/>
          <w:szCs w:val="22"/>
          <w:lang w:eastAsia="en-US"/>
        </w:rPr>
        <w:t>etiske</w:t>
      </w:r>
      <w:r w:rsidR="004959E1">
        <w:rPr>
          <w:rFonts w:ascii="Calibri" w:eastAsia="Calibri" w:hAnsi="Calibri"/>
          <w:sz w:val="22"/>
          <w:szCs w:val="22"/>
          <w:lang w:eastAsia="en-US"/>
        </w:rPr>
        <w:t xml:space="preserve"> retningslinjer på tvers av fag</w:t>
      </w:r>
      <w:r w:rsidR="00A679E3">
        <w:rPr>
          <w:rFonts w:ascii="Calibri" w:eastAsia="Calibri" w:hAnsi="Calibri"/>
          <w:sz w:val="22"/>
          <w:szCs w:val="22"/>
          <w:lang w:eastAsia="en-US"/>
        </w:rPr>
        <w:t>, ref</w:t>
      </w:r>
      <w:r w:rsidR="00062E27">
        <w:rPr>
          <w:rFonts w:ascii="Calibri" w:eastAsia="Calibri" w:hAnsi="Calibri"/>
          <w:sz w:val="22"/>
          <w:szCs w:val="22"/>
          <w:lang w:eastAsia="en-US"/>
        </w:rPr>
        <w:t>.</w:t>
      </w:r>
      <w:r w:rsidR="00A679E3">
        <w:rPr>
          <w:rFonts w:ascii="Calibri" w:eastAsia="Calibri" w:hAnsi="Calibri"/>
          <w:sz w:val="22"/>
          <w:szCs w:val="22"/>
          <w:lang w:eastAsia="en-US"/>
        </w:rPr>
        <w:t xml:space="preserve"> pkt</w:t>
      </w:r>
      <w:r w:rsidR="00062E27">
        <w:rPr>
          <w:rFonts w:ascii="Calibri" w:eastAsia="Calibri" w:hAnsi="Calibri"/>
          <w:sz w:val="22"/>
          <w:szCs w:val="22"/>
          <w:lang w:eastAsia="en-US"/>
        </w:rPr>
        <w:t>.</w:t>
      </w:r>
      <w:r w:rsidR="00A679E3">
        <w:rPr>
          <w:rFonts w:ascii="Calibri" w:eastAsia="Calibri" w:hAnsi="Calibri"/>
          <w:sz w:val="22"/>
          <w:szCs w:val="22"/>
          <w:lang w:eastAsia="en-US"/>
        </w:rPr>
        <w:t>7</w:t>
      </w:r>
      <w:r w:rsidR="00382D75">
        <w:rPr>
          <w:rFonts w:ascii="Calibri" w:eastAsia="Calibri" w:hAnsi="Calibri"/>
          <w:sz w:val="22"/>
          <w:szCs w:val="22"/>
          <w:lang w:eastAsia="en-US"/>
        </w:rPr>
        <w:t>. Ikke minst gjelder dette forskningsinstituttenes anvendte forskning</w:t>
      </w:r>
      <w:r w:rsidR="005970F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85799">
        <w:rPr>
          <w:rFonts w:ascii="Calibri" w:eastAsia="Calibri" w:hAnsi="Calibri"/>
          <w:sz w:val="22"/>
          <w:szCs w:val="22"/>
          <w:lang w:eastAsia="en-US"/>
        </w:rPr>
        <w:t>I stor grad er de</w:t>
      </w:r>
      <w:r w:rsidR="00351FF8">
        <w:rPr>
          <w:rFonts w:ascii="Calibri" w:eastAsia="Calibri" w:hAnsi="Calibri"/>
          <w:sz w:val="22"/>
          <w:szCs w:val="22"/>
          <w:lang w:eastAsia="en-US"/>
        </w:rPr>
        <w:t xml:space="preserve"> forskningsetiske vurderingene og bakgrunnen for dem universelle og ikke spesifikke for naturvitenskap</w:t>
      </w:r>
      <w:r w:rsidR="00382D75">
        <w:rPr>
          <w:rFonts w:ascii="Calibri" w:eastAsia="Calibri" w:hAnsi="Calibri"/>
          <w:sz w:val="22"/>
          <w:szCs w:val="22"/>
          <w:lang w:eastAsia="en-US"/>
        </w:rPr>
        <w:t>.</w:t>
      </w:r>
      <w:r w:rsidR="004959E1">
        <w:rPr>
          <w:rFonts w:ascii="Calibri" w:eastAsia="Calibri" w:hAnsi="Calibri"/>
          <w:sz w:val="22"/>
          <w:szCs w:val="22"/>
          <w:lang w:eastAsia="en-US"/>
        </w:rPr>
        <w:t xml:space="preserve"> Vi mener derfor det er sterkt ønskelig at retningslinjene som utarbeides av NESH og NENT samordnes til ett sett med forskningsetiske retningslinjer</w:t>
      </w:r>
      <w:r w:rsidR="004A6745">
        <w:rPr>
          <w:rFonts w:ascii="Calibri" w:eastAsia="Calibri" w:hAnsi="Calibri"/>
          <w:sz w:val="22"/>
          <w:szCs w:val="22"/>
          <w:lang w:eastAsia="en-US"/>
        </w:rPr>
        <w:t xml:space="preserve"> og at de fagspesifikke retningslinjene etableres som utfyllende</w:t>
      </w:r>
      <w:r w:rsidR="00FC495F">
        <w:rPr>
          <w:rFonts w:ascii="Calibri" w:eastAsia="Calibri" w:hAnsi="Calibri"/>
          <w:sz w:val="22"/>
          <w:szCs w:val="22"/>
          <w:lang w:eastAsia="en-US"/>
        </w:rPr>
        <w:t>,</w:t>
      </w:r>
      <w:r w:rsidR="004A6745">
        <w:rPr>
          <w:rFonts w:ascii="Calibri" w:eastAsia="Calibri" w:hAnsi="Calibri"/>
          <w:sz w:val="22"/>
          <w:szCs w:val="22"/>
          <w:lang w:eastAsia="en-US"/>
        </w:rPr>
        <w:t xml:space="preserve"> i vedlegg. </w:t>
      </w:r>
      <w:r w:rsidR="00355927">
        <w:rPr>
          <w:rFonts w:ascii="Calibri" w:eastAsia="Calibri" w:hAnsi="Calibri"/>
          <w:sz w:val="22"/>
          <w:szCs w:val="22"/>
          <w:lang w:eastAsia="en-US"/>
        </w:rPr>
        <w:t>De</w:t>
      </w:r>
      <w:r w:rsidR="00C86F5C">
        <w:rPr>
          <w:rFonts w:ascii="Calibri" w:eastAsia="Calibri" w:hAnsi="Calibri"/>
          <w:sz w:val="22"/>
          <w:szCs w:val="22"/>
          <w:lang w:eastAsia="en-US"/>
        </w:rPr>
        <w:t xml:space="preserve">t vil gi </w:t>
      </w:r>
      <w:r w:rsidR="007E3032">
        <w:rPr>
          <w:rFonts w:ascii="Calibri" w:eastAsia="Calibri" w:hAnsi="Calibri"/>
          <w:sz w:val="22"/>
          <w:szCs w:val="22"/>
          <w:lang w:eastAsia="en-US"/>
        </w:rPr>
        <w:t>retningslinjene et felles format, mot dagens relativt ulike oppbygging, og gjøre de</w:t>
      </w:r>
      <w:r w:rsidR="00805AF8">
        <w:rPr>
          <w:rFonts w:ascii="Calibri" w:eastAsia="Calibri" w:hAnsi="Calibri"/>
          <w:sz w:val="22"/>
          <w:szCs w:val="22"/>
          <w:lang w:eastAsia="en-US"/>
        </w:rPr>
        <w:t>m</w:t>
      </w:r>
      <w:r w:rsidR="007E3032">
        <w:rPr>
          <w:rFonts w:ascii="Calibri" w:eastAsia="Calibri" w:hAnsi="Calibri"/>
          <w:sz w:val="22"/>
          <w:szCs w:val="22"/>
          <w:lang w:eastAsia="en-US"/>
        </w:rPr>
        <w:t xml:space="preserve"> vesentlig enklere</w:t>
      </w:r>
      <w:r w:rsidR="001B2B90">
        <w:rPr>
          <w:rFonts w:ascii="Calibri" w:eastAsia="Calibri" w:hAnsi="Calibri"/>
          <w:sz w:val="22"/>
          <w:szCs w:val="22"/>
          <w:lang w:eastAsia="en-US"/>
        </w:rPr>
        <w:t xml:space="preserve"> å orientere seg i</w:t>
      </w:r>
      <w:r w:rsidR="007E3032">
        <w:rPr>
          <w:rFonts w:ascii="Calibri" w:eastAsia="Calibri" w:hAnsi="Calibri"/>
          <w:sz w:val="22"/>
          <w:szCs w:val="22"/>
          <w:lang w:eastAsia="en-US"/>
        </w:rPr>
        <w:t xml:space="preserve"> for forskere</w:t>
      </w:r>
      <w:r w:rsidR="006A2610">
        <w:rPr>
          <w:rFonts w:ascii="Calibri" w:eastAsia="Calibri" w:hAnsi="Calibri"/>
          <w:sz w:val="22"/>
          <w:szCs w:val="22"/>
          <w:lang w:eastAsia="en-US"/>
        </w:rPr>
        <w:t xml:space="preserve"> og forskergrupper</w:t>
      </w:r>
      <w:r w:rsidR="007E3032">
        <w:rPr>
          <w:rFonts w:ascii="Calibri" w:eastAsia="Calibri" w:hAnsi="Calibri"/>
          <w:sz w:val="22"/>
          <w:szCs w:val="22"/>
          <w:lang w:eastAsia="en-US"/>
        </w:rPr>
        <w:t xml:space="preserve"> som </w:t>
      </w:r>
      <w:r w:rsidR="001B2B90">
        <w:rPr>
          <w:rFonts w:ascii="Calibri" w:eastAsia="Calibri" w:hAnsi="Calibri"/>
          <w:sz w:val="22"/>
          <w:szCs w:val="22"/>
          <w:lang w:eastAsia="en-US"/>
        </w:rPr>
        <w:t xml:space="preserve">arbeider med </w:t>
      </w:r>
      <w:r w:rsidR="006A2610">
        <w:rPr>
          <w:rFonts w:ascii="Calibri" w:eastAsia="Calibri" w:hAnsi="Calibri"/>
          <w:sz w:val="22"/>
          <w:szCs w:val="22"/>
          <w:lang w:eastAsia="en-US"/>
        </w:rPr>
        <w:t xml:space="preserve">tverrfaglig </w:t>
      </w:r>
      <w:r w:rsidR="001B2B90">
        <w:rPr>
          <w:rFonts w:ascii="Calibri" w:eastAsia="Calibri" w:hAnsi="Calibri"/>
          <w:sz w:val="22"/>
          <w:szCs w:val="22"/>
          <w:lang w:eastAsia="en-US"/>
        </w:rPr>
        <w:t xml:space="preserve">forskning. </w:t>
      </w:r>
    </w:p>
    <w:p w14:paraId="7F329CB1" w14:textId="77777777" w:rsidR="00CC5BC1" w:rsidRDefault="00CC5BC1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3559F14" w14:textId="6ED09B21" w:rsidR="009A7D48" w:rsidRPr="00804865" w:rsidRDefault="00804865" w:rsidP="006A3005">
      <w:pPr>
        <w:spacing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804865">
        <w:rPr>
          <w:rFonts w:ascii="Calibri" w:eastAsia="Calibri" w:hAnsi="Calibri"/>
          <w:i/>
          <w:iCs/>
          <w:sz w:val="22"/>
          <w:szCs w:val="22"/>
          <w:lang w:eastAsia="en-US"/>
        </w:rPr>
        <w:t>Forskningens rolle i samfunnet</w:t>
      </w:r>
    </w:p>
    <w:p w14:paraId="43DD6533" w14:textId="4A5612A4" w:rsidR="00804865" w:rsidRDefault="00267352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FFA er enig i </w:t>
      </w:r>
      <w:r w:rsidR="00196AA8">
        <w:rPr>
          <w:rFonts w:ascii="Calibri" w:eastAsia="Calibri" w:hAnsi="Calibri"/>
          <w:sz w:val="22"/>
          <w:szCs w:val="22"/>
          <w:lang w:eastAsia="en-US"/>
        </w:rPr>
        <w:t>retningslinjenes påpekning av at forskningen har et selvstendig ansvar for egen rolle i samfunnsutviklingen, inkludert å bidra til den offentlige samtalen</w:t>
      </w:r>
      <w:r w:rsidR="00224FB2">
        <w:rPr>
          <w:rFonts w:ascii="Calibri" w:eastAsia="Calibri" w:hAnsi="Calibri"/>
          <w:sz w:val="22"/>
          <w:szCs w:val="22"/>
          <w:lang w:eastAsia="en-US"/>
        </w:rPr>
        <w:t xml:space="preserve"> (pkt</w:t>
      </w:r>
      <w:r w:rsidR="006A2610">
        <w:rPr>
          <w:rFonts w:ascii="Calibri" w:eastAsia="Calibri" w:hAnsi="Calibri"/>
          <w:sz w:val="22"/>
          <w:szCs w:val="22"/>
          <w:lang w:eastAsia="en-US"/>
        </w:rPr>
        <w:t>.</w:t>
      </w:r>
      <w:r w:rsidR="00224FB2">
        <w:rPr>
          <w:rFonts w:ascii="Calibri" w:eastAsia="Calibri" w:hAnsi="Calibri"/>
          <w:sz w:val="22"/>
          <w:szCs w:val="22"/>
          <w:lang w:eastAsia="en-US"/>
        </w:rPr>
        <w:t xml:space="preserve"> 1 og 2)</w:t>
      </w:r>
      <w:r w:rsidR="00196AA8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224FB2">
        <w:rPr>
          <w:rFonts w:ascii="Calibri" w:eastAsia="Calibri" w:hAnsi="Calibri"/>
          <w:sz w:val="22"/>
          <w:szCs w:val="22"/>
          <w:lang w:eastAsia="en-US"/>
        </w:rPr>
        <w:t>Når retningslinjene b</w:t>
      </w:r>
      <w:r w:rsidR="00D8377E">
        <w:rPr>
          <w:rFonts w:ascii="Calibri" w:eastAsia="Calibri" w:hAnsi="Calibri"/>
          <w:sz w:val="22"/>
          <w:szCs w:val="22"/>
          <w:lang w:eastAsia="en-US"/>
        </w:rPr>
        <w:t>eskriver forskere</w:t>
      </w:r>
      <w:r w:rsidR="00B9625F">
        <w:rPr>
          <w:rFonts w:ascii="Calibri" w:eastAsia="Calibri" w:hAnsi="Calibri"/>
          <w:sz w:val="22"/>
          <w:szCs w:val="22"/>
          <w:lang w:eastAsia="en-US"/>
        </w:rPr>
        <w:t>s,</w:t>
      </w:r>
      <w:r w:rsidR="00D8377E">
        <w:rPr>
          <w:rFonts w:ascii="Calibri" w:eastAsia="Calibri" w:hAnsi="Calibri"/>
          <w:sz w:val="22"/>
          <w:szCs w:val="22"/>
          <w:lang w:eastAsia="en-US"/>
        </w:rPr>
        <w:t xml:space="preserve"> forskningsinstitusjoners og </w:t>
      </w:r>
      <w:proofErr w:type="spellStart"/>
      <w:r w:rsidR="00D8377E">
        <w:rPr>
          <w:rFonts w:ascii="Calibri" w:eastAsia="Calibri" w:hAnsi="Calibri"/>
          <w:sz w:val="22"/>
          <w:szCs w:val="22"/>
          <w:lang w:eastAsia="en-US"/>
        </w:rPr>
        <w:t>forskningsfinansiørers</w:t>
      </w:r>
      <w:proofErr w:type="spellEnd"/>
      <w:r w:rsidR="00B9625F">
        <w:rPr>
          <w:rFonts w:ascii="Calibri" w:eastAsia="Calibri" w:hAnsi="Calibri"/>
          <w:sz w:val="22"/>
          <w:szCs w:val="22"/>
          <w:lang w:eastAsia="en-US"/>
        </w:rPr>
        <w:t xml:space="preserve"> ansvar for å bidra til bærekraftig utvikling, biologisk mangfold</w:t>
      </w:r>
      <w:r w:rsidR="0000400D">
        <w:rPr>
          <w:rFonts w:ascii="Calibri" w:eastAsia="Calibri" w:hAnsi="Calibri"/>
          <w:sz w:val="22"/>
          <w:szCs w:val="22"/>
          <w:lang w:eastAsia="en-US"/>
        </w:rPr>
        <w:t xml:space="preserve"> og</w:t>
      </w:r>
      <w:r w:rsidR="00B9625F">
        <w:rPr>
          <w:rFonts w:ascii="Calibri" w:eastAsia="Calibri" w:hAnsi="Calibri"/>
          <w:sz w:val="22"/>
          <w:szCs w:val="22"/>
          <w:lang w:eastAsia="en-US"/>
        </w:rPr>
        <w:t xml:space="preserve"> global rettferdighet</w:t>
      </w:r>
      <w:r w:rsidR="0000400D">
        <w:rPr>
          <w:rFonts w:ascii="Calibri" w:eastAsia="Calibri" w:hAnsi="Calibri"/>
          <w:sz w:val="22"/>
          <w:szCs w:val="22"/>
          <w:lang w:eastAsia="en-US"/>
        </w:rPr>
        <w:t xml:space="preserve">, er vi mer </w:t>
      </w:r>
      <w:r w:rsidR="002C6667">
        <w:rPr>
          <w:rFonts w:ascii="Calibri" w:eastAsia="Calibri" w:hAnsi="Calibri"/>
          <w:sz w:val="22"/>
          <w:szCs w:val="22"/>
          <w:lang w:eastAsia="en-US"/>
        </w:rPr>
        <w:t>skeptiske</w:t>
      </w:r>
      <w:r w:rsidR="00743B9C">
        <w:rPr>
          <w:rFonts w:ascii="Calibri" w:eastAsia="Calibri" w:hAnsi="Calibri"/>
          <w:sz w:val="22"/>
          <w:szCs w:val="22"/>
          <w:lang w:eastAsia="en-US"/>
        </w:rPr>
        <w:t xml:space="preserve"> til om de</w:t>
      </w:r>
      <w:r w:rsidR="008A2603">
        <w:rPr>
          <w:rFonts w:ascii="Calibri" w:eastAsia="Calibri" w:hAnsi="Calibri"/>
          <w:sz w:val="22"/>
          <w:szCs w:val="22"/>
          <w:lang w:eastAsia="en-US"/>
        </w:rPr>
        <w:t xml:space="preserve"> hører hjemme i retningslinjene</w:t>
      </w:r>
      <w:r w:rsidR="002C6667">
        <w:rPr>
          <w:rFonts w:ascii="Calibri" w:eastAsia="Calibri" w:hAnsi="Calibri"/>
          <w:sz w:val="22"/>
          <w:szCs w:val="22"/>
          <w:lang w:eastAsia="en-US"/>
        </w:rPr>
        <w:t>.</w:t>
      </w:r>
      <w:r w:rsidR="000B221D" w:rsidRPr="000B221D">
        <w:t xml:space="preserve"> </w:t>
      </w:r>
      <w:r w:rsidR="000B221D" w:rsidRPr="000B221D">
        <w:rPr>
          <w:rFonts w:ascii="Calibri" w:eastAsia="Calibri" w:hAnsi="Calibri"/>
          <w:sz w:val="22"/>
          <w:szCs w:val="22"/>
          <w:lang w:eastAsia="en-US"/>
        </w:rPr>
        <w:t xml:space="preserve">De reviderte retningslinjene forsøker å konkretisere forskningens ansvar, men vi stiller likevel spørsmål ved om forskeren, forskningsinstitusjonen eller </w:t>
      </w:r>
      <w:proofErr w:type="spellStart"/>
      <w:r w:rsidR="000B221D" w:rsidRPr="000B221D">
        <w:rPr>
          <w:rFonts w:ascii="Calibri" w:eastAsia="Calibri" w:hAnsi="Calibri"/>
          <w:sz w:val="22"/>
          <w:szCs w:val="22"/>
          <w:lang w:eastAsia="en-US"/>
        </w:rPr>
        <w:t>forskningsfinansiøren</w:t>
      </w:r>
      <w:proofErr w:type="spellEnd"/>
      <w:r w:rsidR="000B221D" w:rsidRPr="000B221D">
        <w:rPr>
          <w:rFonts w:ascii="Calibri" w:eastAsia="Calibri" w:hAnsi="Calibri"/>
          <w:sz w:val="22"/>
          <w:szCs w:val="22"/>
          <w:lang w:eastAsia="en-US"/>
        </w:rPr>
        <w:t xml:space="preserve"> har mulighet til å </w:t>
      </w:r>
      <w:r w:rsidR="00FD6E05">
        <w:rPr>
          <w:rFonts w:ascii="Calibri" w:eastAsia="Calibri" w:hAnsi="Calibri"/>
          <w:sz w:val="22"/>
          <w:szCs w:val="22"/>
          <w:lang w:eastAsia="en-US"/>
        </w:rPr>
        <w:t xml:space="preserve">fullt ut </w:t>
      </w:r>
      <w:r w:rsidR="000B221D" w:rsidRPr="000B221D">
        <w:rPr>
          <w:rFonts w:ascii="Calibri" w:eastAsia="Calibri" w:hAnsi="Calibri"/>
          <w:sz w:val="22"/>
          <w:szCs w:val="22"/>
          <w:lang w:eastAsia="en-US"/>
        </w:rPr>
        <w:t>ta ansvar for å vurdere de langsiktige effektene og verdiene av kunnskapen som utvikles.</w:t>
      </w:r>
      <w:r w:rsidR="002C6667">
        <w:rPr>
          <w:rFonts w:ascii="Calibri" w:eastAsia="Calibri" w:hAnsi="Calibri"/>
          <w:sz w:val="22"/>
          <w:szCs w:val="22"/>
          <w:lang w:eastAsia="en-US"/>
        </w:rPr>
        <w:t xml:space="preserve"> Vi er selvsagt enige i at </w:t>
      </w:r>
      <w:r w:rsidR="004D405E">
        <w:rPr>
          <w:rFonts w:ascii="Calibri" w:eastAsia="Calibri" w:hAnsi="Calibri"/>
          <w:sz w:val="22"/>
          <w:szCs w:val="22"/>
          <w:lang w:eastAsia="en-US"/>
        </w:rPr>
        <w:t>bærekraft</w:t>
      </w:r>
      <w:r w:rsidR="00C77099">
        <w:rPr>
          <w:rFonts w:ascii="Calibri" w:eastAsia="Calibri" w:hAnsi="Calibri"/>
          <w:sz w:val="22"/>
          <w:szCs w:val="22"/>
          <w:lang w:eastAsia="en-US"/>
        </w:rPr>
        <w:t>, biologisk mangfold og global rettferdighet</w:t>
      </w:r>
      <w:r w:rsidR="002C6667">
        <w:rPr>
          <w:rFonts w:ascii="Calibri" w:eastAsia="Calibri" w:hAnsi="Calibri"/>
          <w:sz w:val="22"/>
          <w:szCs w:val="22"/>
          <w:lang w:eastAsia="en-US"/>
        </w:rPr>
        <w:t xml:space="preserve"> er riktige og viktige mål</w:t>
      </w:r>
      <w:r w:rsidR="00A627BA">
        <w:rPr>
          <w:rFonts w:ascii="Calibri" w:eastAsia="Calibri" w:hAnsi="Calibri"/>
          <w:sz w:val="22"/>
          <w:szCs w:val="22"/>
          <w:lang w:eastAsia="en-US"/>
        </w:rPr>
        <w:t xml:space="preserve"> for all menneskelig aktivitet, til dels allmennetiske mål og til dels overordnede </w:t>
      </w:r>
      <w:r w:rsidR="00C77099">
        <w:rPr>
          <w:rFonts w:ascii="Calibri" w:eastAsia="Calibri" w:hAnsi="Calibri"/>
          <w:sz w:val="22"/>
          <w:szCs w:val="22"/>
          <w:lang w:eastAsia="en-US"/>
        </w:rPr>
        <w:t xml:space="preserve">politiske </w:t>
      </w:r>
      <w:r w:rsidR="00A627BA">
        <w:rPr>
          <w:rFonts w:ascii="Calibri" w:eastAsia="Calibri" w:hAnsi="Calibri"/>
          <w:sz w:val="22"/>
          <w:szCs w:val="22"/>
          <w:lang w:eastAsia="en-US"/>
        </w:rPr>
        <w:t>mål. Vi mener det bør skilles mellom disse</w:t>
      </w:r>
      <w:r w:rsidR="00743B9C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Hlk139365417"/>
      <w:r w:rsidR="00743B9C">
        <w:rPr>
          <w:rFonts w:ascii="Calibri" w:eastAsia="Calibri" w:hAnsi="Calibri"/>
          <w:sz w:val="22"/>
          <w:szCs w:val="22"/>
          <w:lang w:eastAsia="en-US"/>
        </w:rPr>
        <w:t>og forskningsetiske problemstillinger som spesifikt gjelder forskning, forskere og forskningsinstitusjoner.</w:t>
      </w:r>
      <w:r w:rsidR="008A2603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End w:id="0"/>
      <w:r w:rsidR="0036427D">
        <w:rPr>
          <w:rFonts w:ascii="Calibri" w:eastAsia="Calibri" w:hAnsi="Calibri"/>
          <w:sz w:val="22"/>
          <w:szCs w:val="22"/>
          <w:lang w:eastAsia="en-US"/>
        </w:rPr>
        <w:t>FFA</w:t>
      </w:r>
      <w:r w:rsidR="008A2603">
        <w:rPr>
          <w:rFonts w:ascii="Calibri" w:eastAsia="Calibri" w:hAnsi="Calibri"/>
          <w:sz w:val="22"/>
          <w:szCs w:val="22"/>
          <w:lang w:eastAsia="en-US"/>
        </w:rPr>
        <w:t xml:space="preserve"> mener </w:t>
      </w:r>
      <w:r w:rsidR="0036427D">
        <w:rPr>
          <w:rFonts w:ascii="Calibri" w:eastAsia="Calibri" w:hAnsi="Calibri"/>
          <w:sz w:val="22"/>
          <w:szCs w:val="22"/>
          <w:lang w:eastAsia="en-US"/>
        </w:rPr>
        <w:t xml:space="preserve">det </w:t>
      </w:r>
      <w:r w:rsidR="008A2603">
        <w:rPr>
          <w:rFonts w:ascii="Calibri" w:eastAsia="Calibri" w:hAnsi="Calibri"/>
          <w:sz w:val="22"/>
          <w:szCs w:val="22"/>
          <w:lang w:eastAsia="en-US"/>
        </w:rPr>
        <w:t xml:space="preserve">forskningsetiske </w:t>
      </w:r>
      <w:r w:rsidR="0036427D">
        <w:rPr>
          <w:rFonts w:ascii="Calibri" w:eastAsia="Calibri" w:hAnsi="Calibri"/>
          <w:sz w:val="22"/>
          <w:szCs w:val="22"/>
          <w:lang w:eastAsia="en-US"/>
        </w:rPr>
        <w:t xml:space="preserve">ansvaret </w:t>
      </w:r>
      <w:r w:rsidR="008A2603">
        <w:rPr>
          <w:rFonts w:ascii="Calibri" w:eastAsia="Calibri" w:hAnsi="Calibri"/>
          <w:sz w:val="22"/>
          <w:szCs w:val="22"/>
          <w:lang w:eastAsia="en-US"/>
        </w:rPr>
        <w:t>bør avgrenses til å gjelde disse</w:t>
      </w:r>
      <w:r w:rsidR="000B221D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A152D29" w14:textId="77777777" w:rsidR="002C4946" w:rsidRDefault="002C4946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5CB98B4" w14:textId="75612CAD" w:rsidR="002C4946" w:rsidRDefault="002C4946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Under </w:t>
      </w:r>
      <w:r w:rsidR="00926AC0" w:rsidRPr="00926AC0">
        <w:rPr>
          <w:rFonts w:ascii="Calibri" w:eastAsia="Calibri" w:hAnsi="Calibri"/>
          <w:sz w:val="22"/>
          <w:szCs w:val="22"/>
          <w:lang w:eastAsia="en-US"/>
        </w:rPr>
        <w:t>"</w:t>
      </w:r>
      <w:r w:rsidRPr="00926AC0">
        <w:rPr>
          <w:rFonts w:ascii="Calibri" w:eastAsia="Calibri" w:hAnsi="Calibri"/>
          <w:sz w:val="22"/>
          <w:szCs w:val="22"/>
          <w:lang w:eastAsia="en-US"/>
        </w:rPr>
        <w:t>Forskningens rolle i samfunnet</w:t>
      </w:r>
      <w:r w:rsidR="00926AC0">
        <w:rPr>
          <w:rFonts w:ascii="Calibri" w:eastAsia="Calibri" w:hAnsi="Calibri"/>
          <w:i/>
          <w:iCs/>
          <w:sz w:val="22"/>
          <w:szCs w:val="22"/>
          <w:lang w:eastAsia="en-US"/>
        </w:rPr>
        <w:t>"</w:t>
      </w:r>
      <w:r>
        <w:rPr>
          <w:rFonts w:ascii="Calibri" w:eastAsia="Calibri" w:hAnsi="Calibri"/>
          <w:sz w:val="22"/>
          <w:szCs w:val="22"/>
          <w:lang w:eastAsia="en-US"/>
        </w:rPr>
        <w:t xml:space="preserve"> vil vi foreslå et nytt punkt som beskriver forskerens</w:t>
      </w:r>
      <w:r w:rsidR="00615139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>
        <w:rPr>
          <w:rFonts w:ascii="Calibri" w:eastAsia="Calibri" w:hAnsi="Calibri"/>
          <w:sz w:val="22"/>
          <w:szCs w:val="22"/>
          <w:lang w:eastAsia="en-US"/>
        </w:rPr>
        <w:t>forsknings</w:t>
      </w:r>
      <w:r w:rsidR="00AE606C">
        <w:rPr>
          <w:rFonts w:ascii="Calibri" w:eastAsia="Calibri" w:hAnsi="Calibri"/>
          <w:sz w:val="22"/>
          <w:szCs w:val="22"/>
          <w:lang w:eastAsia="en-US"/>
        </w:rPr>
        <w:t xml:space="preserve">institusjonens og </w:t>
      </w:r>
      <w:proofErr w:type="spellStart"/>
      <w:r w:rsidR="00AE606C">
        <w:rPr>
          <w:rFonts w:ascii="Calibri" w:eastAsia="Calibri" w:hAnsi="Calibri"/>
          <w:sz w:val="22"/>
          <w:szCs w:val="22"/>
          <w:lang w:eastAsia="en-US"/>
        </w:rPr>
        <w:t>forskningsfinansiørens</w:t>
      </w:r>
      <w:proofErr w:type="spellEnd"/>
      <w:r w:rsidR="00AE606C">
        <w:rPr>
          <w:rFonts w:ascii="Calibri" w:eastAsia="Calibri" w:hAnsi="Calibri"/>
          <w:sz w:val="22"/>
          <w:szCs w:val="22"/>
          <w:lang w:eastAsia="en-US"/>
        </w:rPr>
        <w:t xml:space="preserve"> ansvar for å sikre effektiv bruk av samfunnets ressurser. Ressurseffektivitet er aktualisert mht</w:t>
      </w:r>
      <w:r w:rsidR="00B86227">
        <w:rPr>
          <w:rFonts w:ascii="Calibri" w:eastAsia="Calibri" w:hAnsi="Calibri"/>
          <w:sz w:val="22"/>
          <w:szCs w:val="22"/>
          <w:lang w:eastAsia="en-US"/>
        </w:rPr>
        <w:t>.</w:t>
      </w:r>
      <w:r w:rsidR="00AE606C">
        <w:rPr>
          <w:rFonts w:ascii="Calibri" w:eastAsia="Calibri" w:hAnsi="Calibri"/>
          <w:sz w:val="22"/>
          <w:szCs w:val="22"/>
          <w:lang w:eastAsia="en-US"/>
        </w:rPr>
        <w:t xml:space="preserve"> begrensninger </w:t>
      </w:r>
      <w:r w:rsidR="00B86227">
        <w:rPr>
          <w:rFonts w:ascii="Calibri" w:eastAsia="Calibri" w:hAnsi="Calibri"/>
          <w:sz w:val="22"/>
          <w:szCs w:val="22"/>
          <w:lang w:eastAsia="en-US"/>
        </w:rPr>
        <w:t xml:space="preserve">i økonomisk </w:t>
      </w:r>
      <w:r w:rsidR="00AE606C">
        <w:rPr>
          <w:rFonts w:ascii="Calibri" w:eastAsia="Calibri" w:hAnsi="Calibri"/>
          <w:sz w:val="22"/>
          <w:szCs w:val="22"/>
          <w:lang w:eastAsia="en-US"/>
        </w:rPr>
        <w:t xml:space="preserve">og </w:t>
      </w:r>
      <w:r w:rsidR="00376F4E">
        <w:rPr>
          <w:rFonts w:ascii="Calibri" w:eastAsia="Calibri" w:hAnsi="Calibri"/>
          <w:sz w:val="22"/>
          <w:szCs w:val="22"/>
          <w:lang w:eastAsia="en-US"/>
        </w:rPr>
        <w:t>menneskelig kapasitet</w:t>
      </w:r>
      <w:r w:rsidR="003F04D0">
        <w:rPr>
          <w:rFonts w:ascii="Calibri" w:eastAsia="Calibri" w:hAnsi="Calibri"/>
          <w:sz w:val="22"/>
          <w:szCs w:val="22"/>
          <w:lang w:eastAsia="en-US"/>
        </w:rPr>
        <w:t xml:space="preserve">. Det bør reflekteres ved </w:t>
      </w:r>
      <w:r w:rsidR="00EB6996">
        <w:rPr>
          <w:rFonts w:ascii="Calibri" w:eastAsia="Calibri" w:hAnsi="Calibri"/>
          <w:sz w:val="22"/>
          <w:szCs w:val="22"/>
          <w:lang w:eastAsia="en-US"/>
        </w:rPr>
        <w:t xml:space="preserve">å </w:t>
      </w:r>
      <w:r w:rsidR="00A217F6">
        <w:rPr>
          <w:rFonts w:ascii="Calibri" w:eastAsia="Calibri" w:hAnsi="Calibri"/>
          <w:sz w:val="22"/>
          <w:szCs w:val="22"/>
          <w:lang w:eastAsia="en-US"/>
        </w:rPr>
        <w:t xml:space="preserve">omtale </w:t>
      </w:r>
      <w:r w:rsidR="003F04D0">
        <w:rPr>
          <w:rFonts w:ascii="Calibri" w:eastAsia="Calibri" w:hAnsi="Calibri"/>
          <w:sz w:val="22"/>
          <w:szCs w:val="22"/>
          <w:lang w:eastAsia="en-US"/>
        </w:rPr>
        <w:t>den enkelte forsker</w:t>
      </w:r>
      <w:r w:rsidR="00A217F6">
        <w:rPr>
          <w:rFonts w:ascii="Calibri" w:eastAsia="Calibri" w:hAnsi="Calibri"/>
          <w:sz w:val="22"/>
          <w:szCs w:val="22"/>
          <w:lang w:eastAsia="en-US"/>
        </w:rPr>
        <w:t>s</w:t>
      </w:r>
      <w:r w:rsidR="003F04D0">
        <w:rPr>
          <w:rFonts w:ascii="Calibri" w:eastAsia="Calibri" w:hAnsi="Calibri"/>
          <w:sz w:val="22"/>
          <w:szCs w:val="22"/>
          <w:lang w:eastAsia="en-US"/>
        </w:rPr>
        <w:t xml:space="preserve"> og forskerinstitusjon</w:t>
      </w:r>
      <w:r w:rsidR="00A217F6">
        <w:rPr>
          <w:rFonts w:ascii="Calibri" w:eastAsia="Calibri" w:hAnsi="Calibri"/>
          <w:sz w:val="22"/>
          <w:szCs w:val="22"/>
          <w:lang w:eastAsia="en-US"/>
        </w:rPr>
        <w:t>s</w:t>
      </w:r>
      <w:r w:rsidR="00EB6996">
        <w:rPr>
          <w:rFonts w:ascii="Calibri" w:eastAsia="Calibri" w:hAnsi="Calibri"/>
          <w:sz w:val="22"/>
          <w:szCs w:val="22"/>
          <w:lang w:eastAsia="en-US"/>
        </w:rPr>
        <w:t xml:space="preserve"> ansvar for å benytte samfunnets forskningsressurser </w:t>
      </w:r>
      <w:r w:rsidR="00A217F6">
        <w:rPr>
          <w:rFonts w:ascii="Calibri" w:eastAsia="Calibri" w:hAnsi="Calibri"/>
          <w:sz w:val="22"/>
          <w:szCs w:val="22"/>
          <w:lang w:eastAsia="en-US"/>
        </w:rPr>
        <w:t>mest mulig effektivt og få størst mulig samfunnsnytte av ressursene.</w:t>
      </w:r>
    </w:p>
    <w:p w14:paraId="00E24138" w14:textId="77777777" w:rsidR="001E1749" w:rsidRDefault="001E1749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2A9774C" w14:textId="383CDF86" w:rsidR="00EB02D2" w:rsidRPr="0064268E" w:rsidRDefault="002E0F47" w:rsidP="006A3005">
      <w:pPr>
        <w:spacing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EB02D2">
        <w:rPr>
          <w:rFonts w:ascii="Calibri" w:eastAsia="Calibri" w:hAnsi="Calibri"/>
          <w:i/>
          <w:iCs/>
          <w:sz w:val="22"/>
          <w:szCs w:val="22"/>
          <w:lang w:eastAsia="en-US"/>
        </w:rPr>
        <w:t>Redelighet, etterrettelighet</w:t>
      </w:r>
      <w:r w:rsidR="00EB02D2" w:rsidRPr="00EB02D2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og åpenhet</w:t>
      </w:r>
    </w:p>
    <w:p w14:paraId="5DBEFFF9" w14:textId="07074476" w:rsidR="004D77C0" w:rsidRDefault="0064268E" w:rsidP="004D77C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FFA mener retningslinjenes påpekning av at "Forskning skal være så åpen som mulig, men så lukket som nødvendig"</w:t>
      </w:r>
      <w:r w:rsidR="0046089E">
        <w:rPr>
          <w:rFonts w:ascii="Calibri" w:eastAsia="Calibri" w:hAnsi="Calibri"/>
          <w:sz w:val="22"/>
          <w:szCs w:val="22"/>
          <w:lang w:eastAsia="en-US"/>
        </w:rPr>
        <w:t xml:space="preserve"> (pkt</w:t>
      </w:r>
      <w:r w:rsidR="00926AC0">
        <w:rPr>
          <w:rFonts w:ascii="Calibri" w:eastAsia="Calibri" w:hAnsi="Calibri"/>
          <w:sz w:val="22"/>
          <w:szCs w:val="22"/>
          <w:lang w:eastAsia="en-US"/>
        </w:rPr>
        <w:t>.</w:t>
      </w:r>
      <w:r w:rsidR="0046089E">
        <w:rPr>
          <w:rFonts w:ascii="Calibri" w:eastAsia="Calibri" w:hAnsi="Calibri"/>
          <w:sz w:val="22"/>
          <w:szCs w:val="22"/>
          <w:lang w:eastAsia="en-US"/>
        </w:rPr>
        <w:t>5)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A3610A">
        <w:rPr>
          <w:rFonts w:ascii="Calibri" w:eastAsia="Calibri" w:hAnsi="Calibri"/>
          <w:sz w:val="22"/>
          <w:szCs w:val="22"/>
          <w:lang w:eastAsia="en-US"/>
        </w:rPr>
        <w:t>er viktig</w:t>
      </w:r>
      <w:r w:rsidR="00CC4614">
        <w:rPr>
          <w:rFonts w:ascii="Calibri" w:eastAsia="Calibri" w:hAnsi="Calibri"/>
          <w:sz w:val="22"/>
          <w:szCs w:val="22"/>
          <w:lang w:eastAsia="en-US"/>
        </w:rPr>
        <w:t>, og dette er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3610A">
        <w:rPr>
          <w:rFonts w:ascii="Calibri" w:eastAsia="Calibri" w:hAnsi="Calibri"/>
          <w:sz w:val="22"/>
          <w:szCs w:val="22"/>
          <w:lang w:eastAsia="en-US"/>
        </w:rPr>
        <w:t>det også internasjonal enighet om</w:t>
      </w:r>
      <w:r w:rsidR="0046089E">
        <w:rPr>
          <w:rFonts w:ascii="Calibri" w:eastAsia="Calibri" w:hAnsi="Calibri"/>
          <w:sz w:val="22"/>
          <w:szCs w:val="22"/>
          <w:lang w:eastAsia="en-US"/>
        </w:rPr>
        <w:t>.</w:t>
      </w:r>
      <w:r w:rsidR="005B4933">
        <w:rPr>
          <w:rFonts w:ascii="Calibri" w:eastAsia="Calibri" w:hAnsi="Calibri"/>
          <w:sz w:val="22"/>
          <w:szCs w:val="22"/>
          <w:lang w:eastAsia="en-US"/>
        </w:rPr>
        <w:t xml:space="preserve"> Vi er enige i påpekningen</w:t>
      </w:r>
      <w:r w:rsidR="00CC4614">
        <w:rPr>
          <w:rFonts w:ascii="Calibri" w:eastAsia="Calibri" w:hAnsi="Calibri"/>
          <w:sz w:val="22"/>
          <w:szCs w:val="22"/>
          <w:lang w:eastAsia="en-US"/>
        </w:rPr>
        <w:t xml:space="preserve"> i pkt.</w:t>
      </w:r>
      <w:r w:rsidR="005B493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B4933" w:rsidRPr="00196E2E">
        <w:rPr>
          <w:rFonts w:ascii="Calibri" w:eastAsia="Calibri" w:hAnsi="Calibri"/>
          <w:i/>
          <w:iCs/>
          <w:sz w:val="22"/>
          <w:szCs w:val="22"/>
          <w:lang w:eastAsia="en-US"/>
        </w:rPr>
        <w:t>d) eksklusiv bruksrett av forskningen har en tidsbegrensning</w:t>
      </w:r>
      <w:r w:rsidR="00196E2E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. </w:t>
      </w:r>
      <w:r w:rsidR="00196E2E">
        <w:rPr>
          <w:rFonts w:ascii="Calibri" w:eastAsia="Calibri" w:hAnsi="Calibri"/>
          <w:sz w:val="22"/>
          <w:szCs w:val="22"/>
          <w:lang w:eastAsia="en-US"/>
        </w:rPr>
        <w:t xml:space="preserve">Dette er gyldig så lenge det er snakk om forskning som er helt eller delvis finansiert av det offentlige. Ved </w:t>
      </w:r>
      <w:r w:rsidR="00F96573">
        <w:rPr>
          <w:rFonts w:ascii="Calibri" w:eastAsia="Calibri" w:hAnsi="Calibri"/>
          <w:sz w:val="22"/>
          <w:szCs w:val="22"/>
          <w:lang w:eastAsia="en-US"/>
        </w:rPr>
        <w:t xml:space="preserve">privat fullfinansiert forskning, er det også et mål at forskningen skal bli åpen, men det vil ikke alltid kunne være tilfelle. </w:t>
      </w:r>
      <w:r w:rsidR="00F933D2">
        <w:rPr>
          <w:rFonts w:ascii="Calibri" w:eastAsia="Calibri" w:hAnsi="Calibri"/>
          <w:sz w:val="22"/>
          <w:szCs w:val="22"/>
          <w:lang w:eastAsia="en-US"/>
        </w:rPr>
        <w:t>Det kan være kommersielle</w:t>
      </w:r>
      <w:r w:rsidR="009276F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933D2">
        <w:rPr>
          <w:rFonts w:ascii="Calibri" w:eastAsia="Calibri" w:hAnsi="Calibri"/>
          <w:sz w:val="22"/>
          <w:szCs w:val="22"/>
          <w:lang w:eastAsia="en-US"/>
        </w:rPr>
        <w:t xml:space="preserve">hensyn </w:t>
      </w:r>
      <w:r w:rsidR="006528C8">
        <w:rPr>
          <w:rFonts w:ascii="Calibri" w:eastAsia="Calibri" w:hAnsi="Calibri"/>
          <w:sz w:val="22"/>
          <w:szCs w:val="22"/>
          <w:lang w:eastAsia="en-US"/>
        </w:rPr>
        <w:t xml:space="preserve">som begrenser dette. </w:t>
      </w:r>
      <w:r w:rsidR="00EA3B5F">
        <w:rPr>
          <w:rFonts w:ascii="Calibri" w:eastAsia="Calibri" w:hAnsi="Calibri"/>
          <w:sz w:val="22"/>
          <w:szCs w:val="22"/>
          <w:lang w:eastAsia="en-US"/>
        </w:rPr>
        <w:t>S</w:t>
      </w:r>
      <w:r w:rsidR="00F933D2">
        <w:rPr>
          <w:rFonts w:ascii="Calibri" w:eastAsia="Calibri" w:hAnsi="Calibri"/>
          <w:sz w:val="22"/>
          <w:szCs w:val="22"/>
          <w:lang w:eastAsia="en-US"/>
        </w:rPr>
        <w:t>ikkerhetshensyn</w:t>
      </w:r>
      <w:r w:rsidR="00A41560">
        <w:rPr>
          <w:rFonts w:ascii="Calibri" w:eastAsia="Calibri" w:hAnsi="Calibri"/>
          <w:sz w:val="22"/>
          <w:szCs w:val="22"/>
          <w:lang w:eastAsia="en-US"/>
        </w:rPr>
        <w:t xml:space="preserve"> og personvernhensyn</w:t>
      </w:r>
      <w:r w:rsidR="00F933D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528C8">
        <w:rPr>
          <w:rFonts w:ascii="Calibri" w:eastAsia="Calibri" w:hAnsi="Calibri"/>
          <w:sz w:val="22"/>
          <w:szCs w:val="22"/>
          <w:lang w:eastAsia="en-US"/>
        </w:rPr>
        <w:t xml:space="preserve">vil </w:t>
      </w:r>
      <w:r w:rsidR="00EA3B5F">
        <w:rPr>
          <w:rFonts w:ascii="Calibri" w:eastAsia="Calibri" w:hAnsi="Calibri"/>
          <w:sz w:val="22"/>
          <w:szCs w:val="22"/>
          <w:lang w:eastAsia="en-US"/>
        </w:rPr>
        <w:t>ogs</w:t>
      </w:r>
      <w:r w:rsidR="004C0683">
        <w:rPr>
          <w:rFonts w:ascii="Calibri" w:eastAsia="Calibri" w:hAnsi="Calibri"/>
          <w:sz w:val="22"/>
          <w:szCs w:val="22"/>
          <w:lang w:eastAsia="en-US"/>
        </w:rPr>
        <w:t xml:space="preserve">å </w:t>
      </w:r>
      <w:r w:rsidR="006528C8">
        <w:rPr>
          <w:rFonts w:ascii="Calibri" w:eastAsia="Calibri" w:hAnsi="Calibri"/>
          <w:sz w:val="22"/>
          <w:szCs w:val="22"/>
          <w:lang w:eastAsia="en-US"/>
        </w:rPr>
        <w:t>kunne begrense åpenheten i offentlig finansierte prosjekter.</w:t>
      </w:r>
      <w:r w:rsidR="00C554B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4D761D65" w14:textId="77777777" w:rsidR="004D77C0" w:rsidRDefault="004D77C0" w:rsidP="004D77C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6930D3F" w14:textId="0CDFF6AF" w:rsidR="00CC5BC1" w:rsidRPr="004D77C0" w:rsidRDefault="00C554B3" w:rsidP="004D77C0">
      <w:pPr>
        <w:spacing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Vi mener derfor </w:t>
      </w:r>
      <w:r w:rsidR="004D77C0">
        <w:rPr>
          <w:rFonts w:ascii="Calibri" w:eastAsia="Calibri" w:hAnsi="Calibri"/>
          <w:sz w:val="22"/>
          <w:szCs w:val="22"/>
          <w:lang w:eastAsia="en-US"/>
        </w:rPr>
        <w:t xml:space="preserve">følgende som er skrevet inn </w:t>
      </w:r>
      <w:r>
        <w:rPr>
          <w:rFonts w:ascii="Calibri" w:eastAsia="Calibri" w:hAnsi="Calibri"/>
          <w:sz w:val="22"/>
          <w:szCs w:val="22"/>
          <w:lang w:eastAsia="en-US"/>
        </w:rPr>
        <w:t>under "Utvalgte tema, Åpenhet"</w:t>
      </w:r>
      <w:r w:rsidR="00E6648E">
        <w:rPr>
          <w:rFonts w:ascii="Calibri" w:eastAsia="Calibri" w:hAnsi="Calibri"/>
          <w:sz w:val="22"/>
          <w:szCs w:val="22"/>
          <w:lang w:eastAsia="en-US"/>
        </w:rPr>
        <w:t xml:space="preserve"> s. 19</w:t>
      </w:r>
      <w:r w:rsidR="004D77C0">
        <w:rPr>
          <w:rFonts w:ascii="Calibri" w:eastAsia="Calibri" w:hAnsi="Calibri"/>
          <w:sz w:val="22"/>
          <w:szCs w:val="22"/>
          <w:lang w:eastAsia="en-US"/>
        </w:rPr>
        <w:t xml:space="preserve"> er godt formulert og</w:t>
      </w:r>
      <w:r>
        <w:rPr>
          <w:rFonts w:ascii="Calibri" w:eastAsia="Calibri" w:hAnsi="Calibri"/>
          <w:sz w:val="22"/>
          <w:szCs w:val="22"/>
          <w:lang w:eastAsia="en-US"/>
        </w:rPr>
        <w:t xml:space="preserve"> bør </w:t>
      </w:r>
      <w:r w:rsidR="004D77C0">
        <w:rPr>
          <w:rFonts w:ascii="Calibri" w:eastAsia="Calibri" w:hAnsi="Calibri"/>
          <w:sz w:val="22"/>
          <w:szCs w:val="22"/>
          <w:lang w:eastAsia="en-US"/>
        </w:rPr>
        <w:t>legges</w:t>
      </w:r>
      <w:r>
        <w:rPr>
          <w:rFonts w:ascii="Calibri" w:eastAsia="Calibri" w:hAnsi="Calibri"/>
          <w:sz w:val="22"/>
          <w:szCs w:val="22"/>
          <w:lang w:eastAsia="en-US"/>
        </w:rPr>
        <w:t xml:space="preserve"> inn </w:t>
      </w:r>
      <w:r w:rsidR="004D77C0">
        <w:rPr>
          <w:rFonts w:ascii="Calibri" w:eastAsia="Calibri" w:hAnsi="Calibri"/>
          <w:sz w:val="22"/>
          <w:szCs w:val="22"/>
          <w:lang w:eastAsia="en-US"/>
        </w:rPr>
        <w:t>i</w:t>
      </w:r>
      <w:r w:rsidR="00E6648E">
        <w:rPr>
          <w:rFonts w:ascii="Calibri" w:eastAsia="Calibri" w:hAnsi="Calibri"/>
          <w:sz w:val="22"/>
          <w:szCs w:val="22"/>
          <w:lang w:eastAsia="en-US"/>
        </w:rPr>
        <w:t xml:space="preserve"> omtalen av åpenhet i</w:t>
      </w:r>
      <w:r>
        <w:rPr>
          <w:rFonts w:ascii="Calibri" w:eastAsia="Calibri" w:hAnsi="Calibri"/>
          <w:sz w:val="22"/>
          <w:szCs w:val="22"/>
          <w:lang w:eastAsia="en-US"/>
        </w:rPr>
        <w:t xml:space="preserve"> pkt</w:t>
      </w:r>
      <w:r w:rsidR="004C0683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5: </w:t>
      </w:r>
      <w:r w:rsidR="004D77C0" w:rsidRPr="004D77C0">
        <w:rPr>
          <w:rFonts w:ascii="Calibri" w:eastAsia="Calibri" w:hAnsi="Calibri"/>
          <w:i/>
          <w:iCs/>
          <w:sz w:val="22"/>
          <w:szCs w:val="22"/>
          <w:lang w:eastAsia="en-US"/>
        </w:rPr>
        <w:t>Selv om åpenhet er hovedregelen, finnes det legitime grunner til å begrense åpenhet, knyttet til personvern, sikkerhet og kommersialisering. Slike unntak fra den forskningsetiske hovedregelen om åpenhet må være forskningsetisk forsvarlige og tydelig begrunnet.</w:t>
      </w:r>
    </w:p>
    <w:p w14:paraId="52693208" w14:textId="77777777" w:rsidR="0064268E" w:rsidRDefault="0064268E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D4E868E" w14:textId="025FA9D3" w:rsidR="00E6648E" w:rsidRPr="0022721D" w:rsidRDefault="00A864C1" w:rsidP="006A3005">
      <w:pPr>
        <w:spacing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22721D">
        <w:rPr>
          <w:rFonts w:ascii="Calibri" w:eastAsia="Calibri" w:hAnsi="Calibri"/>
          <w:i/>
          <w:iCs/>
          <w:sz w:val="22"/>
          <w:szCs w:val="22"/>
          <w:lang w:eastAsia="en-US"/>
        </w:rPr>
        <w:t>Interessekonflikter og habilitet</w:t>
      </w:r>
    </w:p>
    <w:p w14:paraId="2FFBB25A" w14:textId="0536C487" w:rsidR="006F6711" w:rsidRPr="0022721D" w:rsidRDefault="00E11747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22721D">
        <w:rPr>
          <w:rFonts w:ascii="Calibri" w:eastAsia="Calibri" w:hAnsi="Calibri"/>
          <w:sz w:val="22"/>
          <w:szCs w:val="22"/>
          <w:lang w:eastAsia="en-US"/>
        </w:rPr>
        <w:t xml:space="preserve">FFA mener at omtalen av interessekonflikter </w:t>
      </w:r>
      <w:r w:rsidR="00353930" w:rsidRPr="0022721D">
        <w:rPr>
          <w:rFonts w:ascii="Calibri" w:eastAsia="Calibri" w:hAnsi="Calibri"/>
          <w:sz w:val="22"/>
          <w:szCs w:val="22"/>
          <w:lang w:eastAsia="en-US"/>
        </w:rPr>
        <w:t>(pkt</w:t>
      </w:r>
      <w:r w:rsidR="003A38F0">
        <w:rPr>
          <w:rFonts w:ascii="Calibri" w:eastAsia="Calibri" w:hAnsi="Calibri"/>
          <w:sz w:val="22"/>
          <w:szCs w:val="22"/>
          <w:lang w:eastAsia="en-US"/>
        </w:rPr>
        <w:t>.</w:t>
      </w:r>
      <w:r w:rsidR="00353930" w:rsidRPr="0022721D">
        <w:rPr>
          <w:rFonts w:ascii="Calibri" w:eastAsia="Calibri" w:hAnsi="Calibri"/>
          <w:sz w:val="22"/>
          <w:szCs w:val="22"/>
          <w:lang w:eastAsia="en-US"/>
        </w:rPr>
        <w:t xml:space="preserve">10) </w:t>
      </w:r>
      <w:r w:rsidRPr="0022721D">
        <w:rPr>
          <w:rFonts w:ascii="Calibri" w:eastAsia="Calibri" w:hAnsi="Calibri"/>
          <w:sz w:val="22"/>
          <w:szCs w:val="22"/>
          <w:lang w:eastAsia="en-US"/>
        </w:rPr>
        <w:t>er viktig og god.</w:t>
      </w:r>
      <w:r w:rsidR="00DE77AF" w:rsidRPr="0022721D">
        <w:rPr>
          <w:rFonts w:ascii="Calibri" w:eastAsia="Calibri" w:hAnsi="Calibri"/>
          <w:sz w:val="22"/>
          <w:szCs w:val="22"/>
          <w:lang w:eastAsia="en-US"/>
        </w:rPr>
        <w:t xml:space="preserve"> Det gjelder også omtalen av habilitetsvurdering </w:t>
      </w:r>
      <w:r w:rsidR="00405229" w:rsidRPr="0022721D">
        <w:rPr>
          <w:rFonts w:ascii="Calibri" w:eastAsia="Calibri" w:hAnsi="Calibri"/>
          <w:sz w:val="22"/>
          <w:szCs w:val="22"/>
          <w:lang w:eastAsia="en-US"/>
        </w:rPr>
        <w:t xml:space="preserve">av forskeren som fagfelle </w:t>
      </w:r>
      <w:r w:rsidR="00DE77AF" w:rsidRPr="0022721D">
        <w:rPr>
          <w:rFonts w:ascii="Calibri" w:eastAsia="Calibri" w:hAnsi="Calibri"/>
          <w:sz w:val="22"/>
          <w:szCs w:val="22"/>
          <w:lang w:eastAsia="en-US"/>
        </w:rPr>
        <w:t>(pkt</w:t>
      </w:r>
      <w:r w:rsidR="003A38F0">
        <w:rPr>
          <w:rFonts w:ascii="Calibri" w:eastAsia="Calibri" w:hAnsi="Calibri"/>
          <w:sz w:val="22"/>
          <w:szCs w:val="22"/>
          <w:lang w:eastAsia="en-US"/>
        </w:rPr>
        <w:t>.</w:t>
      </w:r>
      <w:r w:rsidR="00DE77AF" w:rsidRPr="0022721D">
        <w:rPr>
          <w:rFonts w:ascii="Calibri" w:eastAsia="Calibri" w:hAnsi="Calibri"/>
          <w:sz w:val="22"/>
          <w:szCs w:val="22"/>
          <w:lang w:eastAsia="en-US"/>
        </w:rPr>
        <w:t xml:space="preserve">11), men her </w:t>
      </w:r>
      <w:r w:rsidR="003F7F7C" w:rsidRPr="0022721D">
        <w:rPr>
          <w:rFonts w:ascii="Calibri" w:eastAsia="Calibri" w:hAnsi="Calibri"/>
          <w:sz w:val="22"/>
          <w:szCs w:val="22"/>
          <w:lang w:eastAsia="en-US"/>
        </w:rPr>
        <w:t xml:space="preserve">mener vi en bør legge til at forskerens habilitet må </w:t>
      </w:r>
      <w:r w:rsidR="00666921" w:rsidRPr="0022721D">
        <w:rPr>
          <w:rFonts w:ascii="Calibri" w:eastAsia="Calibri" w:hAnsi="Calibri"/>
          <w:sz w:val="22"/>
          <w:szCs w:val="22"/>
          <w:lang w:eastAsia="en-US"/>
        </w:rPr>
        <w:t xml:space="preserve">vurderes også i lys av private relasjoner, i tillegg til </w:t>
      </w:r>
      <w:r w:rsidR="00081444" w:rsidRPr="0022721D">
        <w:rPr>
          <w:rFonts w:ascii="Calibri" w:eastAsia="Calibri" w:hAnsi="Calibri"/>
          <w:sz w:val="22"/>
          <w:szCs w:val="22"/>
          <w:lang w:eastAsia="en-US"/>
        </w:rPr>
        <w:t>kompetanse og profesjonelle relasjoner.</w:t>
      </w:r>
    </w:p>
    <w:p w14:paraId="207D60DA" w14:textId="77777777" w:rsidR="00545437" w:rsidRDefault="00545437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9421A04" w14:textId="12E59DF4" w:rsidR="00545437" w:rsidRPr="00545437" w:rsidRDefault="00545437" w:rsidP="006A3005">
      <w:pPr>
        <w:spacing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545437">
        <w:rPr>
          <w:rFonts w:ascii="Calibri" w:eastAsia="Calibri" w:hAnsi="Calibri"/>
          <w:i/>
          <w:iCs/>
          <w:sz w:val="22"/>
          <w:szCs w:val="22"/>
          <w:lang w:eastAsia="en-US"/>
        </w:rPr>
        <w:t>Varsling</w:t>
      </w:r>
    </w:p>
    <w:p w14:paraId="48CD7A41" w14:textId="33730591" w:rsidR="00545437" w:rsidRDefault="00545437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FFA er enig i at </w:t>
      </w:r>
      <w:r w:rsidR="00C854E6">
        <w:rPr>
          <w:rFonts w:ascii="Calibri" w:eastAsia="Calibri" w:hAnsi="Calibri"/>
          <w:sz w:val="22"/>
          <w:szCs w:val="22"/>
          <w:lang w:eastAsia="en-US"/>
        </w:rPr>
        <w:t xml:space="preserve">det </w:t>
      </w:r>
      <w:r w:rsidR="00A74436">
        <w:rPr>
          <w:rFonts w:ascii="Calibri" w:eastAsia="Calibri" w:hAnsi="Calibri"/>
          <w:sz w:val="22"/>
          <w:szCs w:val="22"/>
          <w:lang w:eastAsia="en-US"/>
        </w:rPr>
        <w:t>ska</w:t>
      </w:r>
      <w:r w:rsidR="00F91607">
        <w:rPr>
          <w:rFonts w:ascii="Calibri" w:eastAsia="Calibri" w:hAnsi="Calibri"/>
          <w:sz w:val="22"/>
          <w:szCs w:val="22"/>
          <w:lang w:eastAsia="en-US"/>
        </w:rPr>
        <w:t>l</w:t>
      </w:r>
      <w:r w:rsidR="00C854E6">
        <w:rPr>
          <w:rFonts w:ascii="Calibri" w:eastAsia="Calibri" w:hAnsi="Calibri"/>
          <w:sz w:val="22"/>
          <w:szCs w:val="22"/>
          <w:lang w:eastAsia="en-US"/>
        </w:rPr>
        <w:t xml:space="preserve"> legges til rette for </w:t>
      </w:r>
      <w:r>
        <w:rPr>
          <w:rFonts w:ascii="Calibri" w:eastAsia="Calibri" w:hAnsi="Calibri"/>
          <w:sz w:val="22"/>
          <w:szCs w:val="22"/>
          <w:lang w:eastAsia="en-US"/>
        </w:rPr>
        <w:t>varsling</w:t>
      </w:r>
      <w:r w:rsidR="00C854E6">
        <w:rPr>
          <w:rFonts w:ascii="Calibri" w:eastAsia="Calibri" w:hAnsi="Calibri"/>
          <w:sz w:val="22"/>
          <w:szCs w:val="22"/>
          <w:lang w:eastAsia="en-US"/>
        </w:rPr>
        <w:t xml:space="preserve"> om kritikkverdige forhold, også når det gjelder forskningsetisk relevante varslingssituasjoner.</w:t>
      </w:r>
      <w:r w:rsidR="00353238">
        <w:rPr>
          <w:rFonts w:ascii="Calibri" w:eastAsia="Calibri" w:hAnsi="Calibri"/>
          <w:sz w:val="22"/>
          <w:szCs w:val="22"/>
          <w:lang w:eastAsia="en-US"/>
        </w:rPr>
        <w:t xml:space="preserve"> Vi mener omtalen under varsling er god. </w:t>
      </w:r>
      <w:r w:rsidR="00C71AB9">
        <w:rPr>
          <w:rFonts w:ascii="Calibri" w:eastAsia="Calibri" w:hAnsi="Calibri"/>
          <w:sz w:val="22"/>
          <w:szCs w:val="22"/>
          <w:lang w:eastAsia="en-US"/>
        </w:rPr>
        <w:t>Samtidig skal a</w:t>
      </w:r>
      <w:r w:rsidR="00C854E6">
        <w:rPr>
          <w:rFonts w:ascii="Calibri" w:eastAsia="Calibri" w:hAnsi="Calibri"/>
          <w:sz w:val="22"/>
          <w:szCs w:val="22"/>
          <w:lang w:eastAsia="en-US"/>
        </w:rPr>
        <w:t xml:space="preserve">lle </w:t>
      </w:r>
      <w:r w:rsidR="001F5CD4">
        <w:rPr>
          <w:rFonts w:ascii="Calibri" w:eastAsia="Calibri" w:hAnsi="Calibri"/>
          <w:sz w:val="22"/>
          <w:szCs w:val="22"/>
          <w:lang w:eastAsia="en-US"/>
        </w:rPr>
        <w:t xml:space="preserve">forskningsinstitusjoner ha etablerte varslingsrutiner, og loven pålegger alle å ha redelighetsutvalg som skal håndtere </w:t>
      </w:r>
      <w:r w:rsidR="009C1825">
        <w:rPr>
          <w:rFonts w:ascii="Calibri" w:eastAsia="Calibri" w:hAnsi="Calibri"/>
          <w:sz w:val="22"/>
          <w:szCs w:val="22"/>
          <w:lang w:eastAsia="en-US"/>
        </w:rPr>
        <w:t xml:space="preserve">varsel om mulige redelighetsbrudd. Vi </w:t>
      </w:r>
      <w:r w:rsidR="00816537">
        <w:rPr>
          <w:rFonts w:ascii="Calibri" w:eastAsia="Calibri" w:hAnsi="Calibri"/>
          <w:sz w:val="22"/>
          <w:szCs w:val="22"/>
          <w:lang w:eastAsia="en-US"/>
        </w:rPr>
        <w:t xml:space="preserve">stiller derfor spørsmål ved om det er behov for egne </w:t>
      </w:r>
      <w:r w:rsidR="00C71AB9">
        <w:rPr>
          <w:rFonts w:ascii="Calibri" w:eastAsia="Calibri" w:hAnsi="Calibri"/>
          <w:sz w:val="22"/>
          <w:szCs w:val="22"/>
          <w:lang w:eastAsia="en-US"/>
        </w:rPr>
        <w:t xml:space="preserve">nasjonale </w:t>
      </w:r>
      <w:r w:rsidR="00816537">
        <w:rPr>
          <w:rFonts w:ascii="Calibri" w:eastAsia="Calibri" w:hAnsi="Calibri"/>
          <w:sz w:val="22"/>
          <w:szCs w:val="22"/>
          <w:lang w:eastAsia="en-US"/>
        </w:rPr>
        <w:t xml:space="preserve">retningslinjer for varsling </w:t>
      </w:r>
      <w:r w:rsidR="00645FC9">
        <w:rPr>
          <w:rFonts w:ascii="Calibri" w:eastAsia="Calibri" w:hAnsi="Calibri"/>
          <w:sz w:val="22"/>
          <w:szCs w:val="22"/>
          <w:lang w:eastAsia="en-US"/>
        </w:rPr>
        <w:t>av mulige brudd på forskningset</w:t>
      </w:r>
      <w:r w:rsidR="00F27157">
        <w:rPr>
          <w:rFonts w:ascii="Calibri" w:eastAsia="Calibri" w:hAnsi="Calibri"/>
          <w:sz w:val="22"/>
          <w:szCs w:val="22"/>
          <w:lang w:eastAsia="en-US"/>
        </w:rPr>
        <w:t>ikk</w:t>
      </w:r>
      <w:r w:rsidR="009F2FE1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4534F3">
        <w:rPr>
          <w:rFonts w:ascii="Calibri" w:eastAsia="Calibri" w:hAnsi="Calibri"/>
          <w:sz w:val="22"/>
          <w:szCs w:val="22"/>
          <w:lang w:eastAsia="en-US"/>
        </w:rPr>
        <w:t xml:space="preserve">da </w:t>
      </w:r>
      <w:r w:rsidR="009F2FE1">
        <w:rPr>
          <w:rFonts w:ascii="Calibri" w:eastAsia="Calibri" w:hAnsi="Calibri"/>
          <w:sz w:val="22"/>
          <w:szCs w:val="22"/>
          <w:lang w:eastAsia="en-US"/>
        </w:rPr>
        <w:t xml:space="preserve">det </w:t>
      </w:r>
      <w:r w:rsidR="004534F3">
        <w:rPr>
          <w:rFonts w:ascii="Calibri" w:eastAsia="Calibri" w:hAnsi="Calibri"/>
          <w:sz w:val="22"/>
          <w:szCs w:val="22"/>
          <w:lang w:eastAsia="en-US"/>
        </w:rPr>
        <w:t xml:space="preserve">allerede </w:t>
      </w:r>
      <w:r w:rsidR="009F2FE1">
        <w:rPr>
          <w:rFonts w:ascii="Calibri" w:eastAsia="Calibri" w:hAnsi="Calibri"/>
          <w:sz w:val="22"/>
          <w:szCs w:val="22"/>
          <w:lang w:eastAsia="en-US"/>
        </w:rPr>
        <w:t xml:space="preserve">er dekket </w:t>
      </w:r>
      <w:r w:rsidR="00C71AB9">
        <w:rPr>
          <w:rFonts w:ascii="Calibri" w:eastAsia="Calibri" w:hAnsi="Calibri"/>
          <w:sz w:val="22"/>
          <w:szCs w:val="22"/>
          <w:lang w:eastAsia="en-US"/>
        </w:rPr>
        <w:t>på institusjonsnivå</w:t>
      </w:r>
      <w:r w:rsidR="004534F3">
        <w:rPr>
          <w:rFonts w:ascii="Calibri" w:eastAsia="Calibri" w:hAnsi="Calibri"/>
          <w:sz w:val="22"/>
          <w:szCs w:val="22"/>
          <w:lang w:eastAsia="en-US"/>
        </w:rPr>
        <w:t xml:space="preserve"> og</w:t>
      </w:r>
      <w:r w:rsidR="00C71AB9">
        <w:rPr>
          <w:rFonts w:ascii="Calibri" w:eastAsia="Calibri" w:hAnsi="Calibri"/>
          <w:sz w:val="22"/>
          <w:szCs w:val="22"/>
          <w:lang w:eastAsia="en-US"/>
        </w:rPr>
        <w:t xml:space="preserve"> forankret i lov</w:t>
      </w:r>
      <w:r w:rsidR="009F2FE1">
        <w:rPr>
          <w:rFonts w:ascii="Calibri" w:eastAsia="Calibri" w:hAnsi="Calibri"/>
          <w:sz w:val="22"/>
          <w:szCs w:val="22"/>
          <w:lang w:eastAsia="en-US"/>
        </w:rPr>
        <w:t>.</w:t>
      </w:r>
      <w:r w:rsidR="0099290E">
        <w:rPr>
          <w:rFonts w:ascii="Calibri" w:eastAsia="Calibri" w:hAnsi="Calibri"/>
          <w:sz w:val="22"/>
          <w:szCs w:val="22"/>
          <w:lang w:eastAsia="en-US"/>
        </w:rPr>
        <w:t xml:space="preserve"> Det synes overflødig å </w:t>
      </w:r>
      <w:r w:rsidR="009F2FE1">
        <w:rPr>
          <w:rFonts w:ascii="Calibri" w:eastAsia="Calibri" w:hAnsi="Calibri"/>
          <w:sz w:val="22"/>
          <w:szCs w:val="22"/>
          <w:lang w:eastAsia="en-US"/>
        </w:rPr>
        <w:t xml:space="preserve">gjenta </w:t>
      </w:r>
      <w:r w:rsidR="00E72153">
        <w:rPr>
          <w:rFonts w:ascii="Calibri" w:eastAsia="Calibri" w:hAnsi="Calibri"/>
          <w:sz w:val="22"/>
          <w:szCs w:val="22"/>
          <w:lang w:eastAsia="en-US"/>
        </w:rPr>
        <w:t xml:space="preserve">retningslinjer som allerede er etablert gjennom institusjonenes varslingsrutiner og </w:t>
      </w:r>
      <w:r w:rsidR="0099290E">
        <w:rPr>
          <w:rFonts w:ascii="Calibri" w:eastAsia="Calibri" w:hAnsi="Calibri"/>
          <w:sz w:val="22"/>
          <w:szCs w:val="22"/>
          <w:lang w:eastAsia="en-US"/>
        </w:rPr>
        <w:t>forskningsetiske rutiner</w:t>
      </w:r>
      <w:r w:rsidR="003054C8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6ACB9EB" w14:textId="77777777" w:rsidR="00353238" w:rsidRDefault="00353238" w:rsidP="006A300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5AF719C" w14:textId="53CB0013" w:rsidR="00205B7E" w:rsidRPr="00F57BA9" w:rsidRDefault="00205B7E" w:rsidP="00ED357E">
      <w:pPr>
        <w:spacing w:line="259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F57BA9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Oppsummert </w:t>
      </w:r>
    </w:p>
    <w:p w14:paraId="194B142A" w14:textId="545B2122" w:rsidR="004B4F9D" w:rsidRDefault="009A7D48" w:rsidP="00ED357E">
      <w:pPr>
        <w:pStyle w:val="Listeavsnitt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FEK bør samordne retningslinjene for </w:t>
      </w:r>
      <w:proofErr w:type="spellStart"/>
      <w:r w:rsidR="00362B80">
        <w:rPr>
          <w:rFonts w:asciiTheme="minorHAnsi" w:hAnsiTheme="minorHAnsi" w:cstheme="minorHAnsi"/>
        </w:rPr>
        <w:t>NESH</w:t>
      </w:r>
      <w:r w:rsidR="00C27066">
        <w:rPr>
          <w:rFonts w:asciiTheme="minorHAnsi" w:hAnsiTheme="minorHAnsi" w:cstheme="minorHAnsi"/>
        </w:rPr>
        <w:t>s</w:t>
      </w:r>
      <w:proofErr w:type="spellEnd"/>
      <w:r w:rsidR="00362B80">
        <w:rPr>
          <w:rFonts w:asciiTheme="minorHAnsi" w:hAnsiTheme="minorHAnsi" w:cstheme="minorHAnsi"/>
        </w:rPr>
        <w:t xml:space="preserve"> og </w:t>
      </w:r>
      <w:proofErr w:type="spellStart"/>
      <w:r w:rsidR="00362B80">
        <w:rPr>
          <w:rFonts w:asciiTheme="minorHAnsi" w:hAnsiTheme="minorHAnsi" w:cstheme="minorHAnsi"/>
        </w:rPr>
        <w:t>NENTs</w:t>
      </w:r>
      <w:proofErr w:type="spellEnd"/>
      <w:r w:rsidR="00362B80">
        <w:rPr>
          <w:rFonts w:asciiTheme="minorHAnsi" w:hAnsiTheme="minorHAnsi" w:cstheme="minorHAnsi"/>
        </w:rPr>
        <w:t xml:space="preserve"> områder og legge fagspesifikke retningslinjer i vedlegg. Det vil lette bruken for forskere og forskningsinstitusjoner vesentlig i en hverdag med økende grad av tverrfaglig forskning.</w:t>
      </w:r>
    </w:p>
    <w:p w14:paraId="2490E101" w14:textId="132B96DE" w:rsidR="00FD574E" w:rsidRDefault="00606A39" w:rsidP="009A7D48">
      <w:pPr>
        <w:pStyle w:val="Listeavsnitt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Forskningsetiske retningslinjer bør avgrenses til </w:t>
      </w:r>
      <w:r w:rsidRPr="00606A39">
        <w:rPr>
          <w:rFonts w:asciiTheme="minorHAnsi" w:hAnsiTheme="minorHAnsi" w:cstheme="minorHAnsi"/>
        </w:rPr>
        <w:t>forskningsetiske problemstillinger som gjelder forskning, forskere og forskningsinstitusjoner</w:t>
      </w:r>
      <w:r>
        <w:rPr>
          <w:rFonts w:asciiTheme="minorHAnsi" w:hAnsiTheme="minorHAnsi" w:cstheme="minorHAnsi"/>
        </w:rPr>
        <w:t xml:space="preserve">. </w:t>
      </w:r>
      <w:r w:rsidR="001E1749">
        <w:rPr>
          <w:rFonts w:asciiTheme="minorHAnsi" w:hAnsiTheme="minorHAnsi" w:cstheme="minorHAnsi"/>
        </w:rPr>
        <w:t>Ressur</w:t>
      </w:r>
      <w:r w:rsidR="00CC282C">
        <w:rPr>
          <w:rFonts w:asciiTheme="minorHAnsi" w:hAnsiTheme="minorHAnsi" w:cstheme="minorHAnsi"/>
        </w:rPr>
        <w:t>s</w:t>
      </w:r>
      <w:r w:rsidR="001E1749">
        <w:rPr>
          <w:rFonts w:asciiTheme="minorHAnsi" w:hAnsiTheme="minorHAnsi" w:cstheme="minorHAnsi"/>
        </w:rPr>
        <w:t xml:space="preserve">effektiv bruk av forskningsmidler er et </w:t>
      </w:r>
      <w:r w:rsidR="00231771">
        <w:rPr>
          <w:rFonts w:asciiTheme="minorHAnsi" w:hAnsiTheme="minorHAnsi" w:cstheme="minorHAnsi"/>
        </w:rPr>
        <w:t>hensyn</w:t>
      </w:r>
      <w:r w:rsidR="001E1749">
        <w:rPr>
          <w:rFonts w:asciiTheme="minorHAnsi" w:hAnsiTheme="minorHAnsi" w:cstheme="minorHAnsi"/>
        </w:rPr>
        <w:t xml:space="preserve"> som bør inngå her. </w:t>
      </w:r>
      <w:r>
        <w:rPr>
          <w:rFonts w:asciiTheme="minorHAnsi" w:hAnsiTheme="minorHAnsi" w:cstheme="minorHAnsi"/>
        </w:rPr>
        <w:t xml:space="preserve">Andre </w:t>
      </w:r>
      <w:r w:rsidR="002A4709">
        <w:rPr>
          <w:rFonts w:asciiTheme="minorHAnsi" w:hAnsiTheme="minorHAnsi" w:cstheme="minorHAnsi"/>
        </w:rPr>
        <w:t xml:space="preserve">allmennetiske eller overordna politiske mål </w:t>
      </w:r>
      <w:r w:rsidR="00434B64">
        <w:rPr>
          <w:rFonts w:asciiTheme="minorHAnsi" w:hAnsiTheme="minorHAnsi" w:cstheme="minorHAnsi"/>
        </w:rPr>
        <w:t xml:space="preserve">er viktige, men forskeren, forskningsinstitusjonen eller </w:t>
      </w:r>
      <w:r w:rsidR="00A411CF">
        <w:rPr>
          <w:rFonts w:asciiTheme="minorHAnsi" w:hAnsiTheme="minorHAnsi" w:cstheme="minorHAnsi"/>
        </w:rPr>
        <w:t>-</w:t>
      </w:r>
      <w:proofErr w:type="spellStart"/>
      <w:r w:rsidR="00434B64">
        <w:rPr>
          <w:rFonts w:asciiTheme="minorHAnsi" w:hAnsiTheme="minorHAnsi" w:cstheme="minorHAnsi"/>
        </w:rPr>
        <w:t>finansiøren</w:t>
      </w:r>
      <w:proofErr w:type="spellEnd"/>
      <w:r w:rsidR="00434B64">
        <w:rPr>
          <w:rFonts w:asciiTheme="minorHAnsi" w:hAnsiTheme="minorHAnsi" w:cstheme="minorHAnsi"/>
        </w:rPr>
        <w:t xml:space="preserve"> har ikke ansvar</w:t>
      </w:r>
      <w:r w:rsidR="00915B2E">
        <w:rPr>
          <w:rFonts w:asciiTheme="minorHAnsi" w:hAnsiTheme="minorHAnsi" w:cstheme="minorHAnsi"/>
        </w:rPr>
        <w:t xml:space="preserve"> for eller </w:t>
      </w:r>
      <w:r w:rsidR="00434B64">
        <w:rPr>
          <w:rFonts w:asciiTheme="minorHAnsi" w:hAnsiTheme="minorHAnsi" w:cstheme="minorHAnsi"/>
        </w:rPr>
        <w:t xml:space="preserve">myndigheten </w:t>
      </w:r>
      <w:r w:rsidR="00915B2E">
        <w:rPr>
          <w:rFonts w:asciiTheme="minorHAnsi" w:hAnsiTheme="minorHAnsi" w:cstheme="minorHAnsi"/>
        </w:rPr>
        <w:t>til</w:t>
      </w:r>
      <w:r w:rsidR="00434B64">
        <w:rPr>
          <w:rFonts w:asciiTheme="minorHAnsi" w:hAnsiTheme="minorHAnsi" w:cstheme="minorHAnsi"/>
        </w:rPr>
        <w:t xml:space="preserve"> å oppfylle disse.</w:t>
      </w:r>
    </w:p>
    <w:p w14:paraId="51619847" w14:textId="7A007C8B" w:rsidR="00072169" w:rsidRDefault="00072169" w:rsidP="009A7D48">
      <w:pPr>
        <w:pStyle w:val="Listeavsnitt"/>
        <w:numPr>
          <w:ilvl w:val="0"/>
          <w:numId w:val="3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Legitime grunner for å begrense åpenhet bør</w:t>
      </w:r>
      <w:r w:rsidR="00C30CF5">
        <w:rPr>
          <w:rFonts w:asciiTheme="minorHAnsi" w:hAnsiTheme="minorHAnsi" w:cstheme="minorHAnsi"/>
        </w:rPr>
        <w:t xml:space="preserve"> løftes fra "</w:t>
      </w:r>
      <w:r w:rsidR="001C14BC">
        <w:rPr>
          <w:rFonts w:asciiTheme="minorHAnsi" w:hAnsiTheme="minorHAnsi" w:cstheme="minorHAnsi"/>
        </w:rPr>
        <w:t>Utvalgte</w:t>
      </w:r>
      <w:r w:rsidR="00C30CF5">
        <w:rPr>
          <w:rFonts w:asciiTheme="minorHAnsi" w:hAnsiTheme="minorHAnsi" w:cstheme="minorHAnsi"/>
        </w:rPr>
        <w:t xml:space="preserve"> tema" til </w:t>
      </w:r>
      <w:r w:rsidR="001C14BC">
        <w:rPr>
          <w:rFonts w:asciiTheme="minorHAnsi" w:hAnsiTheme="minorHAnsi" w:cstheme="minorHAnsi"/>
        </w:rPr>
        <w:t>kapittelet om åpenhet.</w:t>
      </w:r>
    </w:p>
    <w:p w14:paraId="4BF132F8" w14:textId="77777777" w:rsidR="00915B2E" w:rsidRDefault="00915B2E" w:rsidP="00ED357E">
      <w:pPr>
        <w:pStyle w:val="Listeavsnitt"/>
        <w:ind w:left="360"/>
        <w:rPr>
          <w:rFonts w:asciiTheme="minorHAnsi" w:hAnsiTheme="minorHAnsi" w:cstheme="minorHAnsi"/>
        </w:rPr>
      </w:pPr>
    </w:p>
    <w:p w14:paraId="7E8E07C4" w14:textId="77777777" w:rsidR="00ED357E" w:rsidRPr="009A7D48" w:rsidRDefault="00ED357E" w:rsidP="00ED357E">
      <w:pPr>
        <w:pStyle w:val="Listeavsnitt"/>
        <w:ind w:left="360"/>
        <w:rPr>
          <w:rFonts w:asciiTheme="minorHAnsi" w:hAnsiTheme="minorHAnsi" w:cstheme="minorHAnsi"/>
        </w:rPr>
      </w:pPr>
    </w:p>
    <w:p w14:paraId="08BADC8C" w14:textId="1F659DDE" w:rsidR="00A13A07" w:rsidRPr="00294B7B" w:rsidRDefault="00A13A07" w:rsidP="00A13A07">
      <w:pPr>
        <w:rPr>
          <w:rFonts w:ascii="Calibri" w:hAnsi="Calibri" w:cs="Calibri"/>
          <w:sz w:val="22"/>
          <w:szCs w:val="22"/>
        </w:rPr>
      </w:pPr>
      <w:r w:rsidRPr="00294B7B">
        <w:rPr>
          <w:rFonts w:ascii="Calibri" w:hAnsi="Calibri" w:cs="Calibri"/>
          <w:sz w:val="22"/>
          <w:szCs w:val="22"/>
        </w:rPr>
        <w:t>Vennlig hilsen</w:t>
      </w:r>
      <w:r w:rsidRPr="00294B7B">
        <w:rPr>
          <w:rFonts w:ascii="Calibri" w:hAnsi="Calibri" w:cs="Calibri"/>
          <w:sz w:val="22"/>
          <w:szCs w:val="22"/>
        </w:rPr>
        <w:tab/>
      </w:r>
      <w:r w:rsidRPr="00294B7B">
        <w:rPr>
          <w:rFonts w:ascii="Calibri" w:hAnsi="Calibri" w:cs="Calibri"/>
          <w:sz w:val="22"/>
          <w:szCs w:val="22"/>
        </w:rPr>
        <w:tab/>
      </w:r>
      <w:r w:rsidRPr="00294B7B">
        <w:rPr>
          <w:rFonts w:ascii="Calibri" w:hAnsi="Calibri" w:cs="Calibri"/>
          <w:sz w:val="22"/>
          <w:szCs w:val="22"/>
        </w:rPr>
        <w:tab/>
      </w:r>
      <w:r w:rsidRPr="00294B7B">
        <w:rPr>
          <w:rFonts w:ascii="Calibri" w:hAnsi="Calibri" w:cs="Calibri"/>
          <w:sz w:val="22"/>
          <w:szCs w:val="22"/>
        </w:rPr>
        <w:tab/>
      </w:r>
      <w:r w:rsidRPr="00294B7B">
        <w:rPr>
          <w:rFonts w:ascii="Calibri" w:hAnsi="Calibri" w:cs="Calibri"/>
          <w:sz w:val="22"/>
          <w:szCs w:val="22"/>
        </w:rPr>
        <w:tab/>
      </w:r>
      <w:r w:rsidRPr="00294B7B">
        <w:rPr>
          <w:rFonts w:ascii="Calibri" w:hAnsi="Calibri" w:cs="Calibri"/>
          <w:sz w:val="22"/>
          <w:szCs w:val="22"/>
        </w:rPr>
        <w:tab/>
      </w:r>
      <w:r w:rsidRPr="00294B7B">
        <w:rPr>
          <w:rFonts w:ascii="Calibri" w:hAnsi="Calibri" w:cs="Calibri"/>
          <w:sz w:val="22"/>
          <w:szCs w:val="22"/>
        </w:rPr>
        <w:tab/>
      </w:r>
    </w:p>
    <w:p w14:paraId="03AB89DB" w14:textId="6C24988D" w:rsidR="00A13A07" w:rsidRPr="00294B7B" w:rsidRDefault="00CA209D" w:rsidP="00A13A07">
      <w:pPr>
        <w:rPr>
          <w:rFonts w:ascii="Calibri" w:hAnsi="Calibri" w:cs="Calibri"/>
          <w:sz w:val="22"/>
          <w:szCs w:val="22"/>
        </w:rPr>
      </w:pPr>
      <w:r w:rsidRPr="00294B7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2FD4F75" wp14:editId="5ADE2D9E">
            <wp:extent cx="1073150" cy="377825"/>
            <wp:effectExtent l="0" t="0" r="0" b="3175"/>
            <wp:docPr id="6" name="Bilde 6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3A07" w:rsidRPr="00294B7B">
        <w:rPr>
          <w:rFonts w:ascii="Calibri" w:hAnsi="Calibri" w:cs="Calibri"/>
          <w:sz w:val="22"/>
          <w:szCs w:val="22"/>
        </w:rPr>
        <w:t xml:space="preserve">                          </w:t>
      </w:r>
      <w:r w:rsidR="00A13A07" w:rsidRPr="00294B7B">
        <w:rPr>
          <w:rFonts w:ascii="Calibri" w:hAnsi="Calibri" w:cs="Calibri"/>
          <w:sz w:val="22"/>
          <w:szCs w:val="22"/>
        </w:rPr>
        <w:tab/>
      </w:r>
      <w:r w:rsidR="00A13A07" w:rsidRPr="00294B7B">
        <w:rPr>
          <w:rFonts w:ascii="Calibri" w:hAnsi="Calibri" w:cs="Calibri"/>
          <w:sz w:val="22"/>
          <w:szCs w:val="22"/>
        </w:rPr>
        <w:tab/>
      </w:r>
      <w:r w:rsidR="00A13A07" w:rsidRPr="00294B7B">
        <w:rPr>
          <w:rFonts w:ascii="Calibri" w:hAnsi="Calibri" w:cs="Calibri"/>
          <w:sz w:val="22"/>
          <w:szCs w:val="22"/>
        </w:rPr>
        <w:tab/>
      </w:r>
      <w:r w:rsidR="00A13A07" w:rsidRPr="00294B7B">
        <w:rPr>
          <w:rFonts w:ascii="Calibri" w:hAnsi="Calibri" w:cs="Calibri"/>
          <w:sz w:val="22"/>
          <w:szCs w:val="22"/>
        </w:rPr>
        <w:tab/>
      </w:r>
      <w:r w:rsidR="00A13A07" w:rsidRPr="00294B7B">
        <w:rPr>
          <w:rFonts w:ascii="Calibri" w:hAnsi="Calibri" w:cs="Calibri"/>
          <w:sz w:val="22"/>
          <w:szCs w:val="22"/>
        </w:rPr>
        <w:tab/>
      </w:r>
      <w:r w:rsidR="00A13A07" w:rsidRPr="00294B7B">
        <w:rPr>
          <w:rFonts w:ascii="Calibri" w:hAnsi="Calibri" w:cs="Calibri"/>
          <w:sz w:val="22"/>
          <w:szCs w:val="22"/>
        </w:rPr>
        <w:tab/>
      </w:r>
      <w:r w:rsidR="00A13A07" w:rsidRPr="00294B7B">
        <w:rPr>
          <w:rFonts w:ascii="Calibri" w:hAnsi="Calibri" w:cs="Calibri"/>
          <w:sz w:val="22"/>
          <w:szCs w:val="22"/>
        </w:rPr>
        <w:tab/>
      </w:r>
      <w:r w:rsidR="00A13A07" w:rsidRPr="00294B7B">
        <w:rPr>
          <w:rFonts w:ascii="Calibri" w:hAnsi="Calibri" w:cs="Calibri"/>
          <w:sz w:val="22"/>
          <w:szCs w:val="22"/>
        </w:rPr>
        <w:tab/>
      </w:r>
    </w:p>
    <w:p w14:paraId="66D4435D" w14:textId="0A7551BE" w:rsidR="00A13A07" w:rsidRPr="00294B7B" w:rsidRDefault="00A13A07" w:rsidP="00A13A07">
      <w:pPr>
        <w:rPr>
          <w:rFonts w:ascii="Calibri" w:hAnsi="Calibri" w:cs="Calibri"/>
          <w:i/>
          <w:sz w:val="22"/>
          <w:szCs w:val="22"/>
        </w:rPr>
      </w:pPr>
      <w:r w:rsidRPr="00294B7B">
        <w:rPr>
          <w:rFonts w:ascii="Calibri" w:hAnsi="Calibri" w:cs="Calibri"/>
          <w:i/>
          <w:sz w:val="22"/>
          <w:szCs w:val="22"/>
        </w:rPr>
        <w:t>Agnes Landstad</w:t>
      </w:r>
    </w:p>
    <w:p w14:paraId="35E790CC" w14:textId="69D37EEE" w:rsidR="006770FA" w:rsidRPr="00AB3066" w:rsidRDefault="00A13A07" w:rsidP="00874D10">
      <w:pPr>
        <w:rPr>
          <w:rFonts w:ascii="Calibri" w:hAnsi="Calibri" w:cs="Calibri"/>
          <w:sz w:val="22"/>
          <w:szCs w:val="22"/>
        </w:rPr>
      </w:pPr>
      <w:r w:rsidRPr="00874D10">
        <w:rPr>
          <w:rFonts w:ascii="Calibri" w:hAnsi="Calibri" w:cs="Calibri"/>
          <w:sz w:val="18"/>
          <w:szCs w:val="18"/>
        </w:rPr>
        <w:t>Daglig leder FFA</w:t>
      </w:r>
    </w:p>
    <w:sectPr w:rsidR="006770FA" w:rsidRPr="00AB3066" w:rsidSect="0004354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426" w:right="1133" w:bottom="0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07B7" w14:textId="77777777" w:rsidR="000A6C46" w:rsidRDefault="000A6C46" w:rsidP="0032655B">
      <w:r>
        <w:separator/>
      </w:r>
    </w:p>
  </w:endnote>
  <w:endnote w:type="continuationSeparator" w:id="0">
    <w:p w14:paraId="39910021" w14:textId="77777777" w:rsidR="000A6C46" w:rsidRDefault="000A6C46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61908040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47E3880" wp14:editId="74BF97F9">
              <wp:simplePos x="0" y="0"/>
              <wp:positionH relativeFrom="column">
                <wp:posOffset>-262313</wp:posOffset>
              </wp:positionH>
              <wp:positionV relativeFrom="paragraph">
                <wp:posOffset>-242397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638BB46C" w14:textId="7DE142CB" w:rsidR="00FB611F" w:rsidRPr="00A54406" w:rsidRDefault="00CF705C" w:rsidP="00072BC3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65pt;margin-top:-19.1pt;width:582.5pt;height:62.1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638BB46C" w14:textId="7DE142CB" w:rsidR="00FB611F" w:rsidRPr="00A54406" w:rsidRDefault="00CF705C" w:rsidP="00072BC3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2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38B3A64" wp14:editId="3F4C0397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4D508A" wp14:editId="7F950D8F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256C" w14:textId="77777777" w:rsidR="000A6C46" w:rsidRDefault="000A6C46" w:rsidP="0032655B">
      <w:r>
        <w:separator/>
      </w:r>
    </w:p>
  </w:footnote>
  <w:footnote w:type="continuationSeparator" w:id="0">
    <w:p w14:paraId="3D0DCAB0" w14:textId="77777777" w:rsidR="000A6C46" w:rsidRDefault="000A6C46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649AC31D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0D02F4DA" w:rsidR="00FB611F" w:rsidRPr="00CF705C" w:rsidRDefault="6DE70122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02D88396">
          <wp:extent cx="2469515" cy="422023"/>
          <wp:effectExtent l="0" t="0" r="6985" b="0"/>
          <wp:docPr id="939246605" name="Bilde 939246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42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FFFFFF7D"/>
    <w:multiLevelType w:val="hybridMultilevel"/>
    <w:tmpl w:val="C83053FC"/>
    <w:lvl w:ilvl="0" w:tplc="A672E3A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A520C9E">
      <w:numFmt w:val="decimal"/>
      <w:lvlText w:val=""/>
      <w:lvlJc w:val="left"/>
    </w:lvl>
    <w:lvl w:ilvl="2" w:tplc="517A3E28">
      <w:numFmt w:val="decimal"/>
      <w:lvlText w:val=""/>
      <w:lvlJc w:val="left"/>
    </w:lvl>
    <w:lvl w:ilvl="3" w:tplc="D65C064E">
      <w:numFmt w:val="decimal"/>
      <w:lvlText w:val=""/>
      <w:lvlJc w:val="left"/>
    </w:lvl>
    <w:lvl w:ilvl="4" w:tplc="2AEE5AEE">
      <w:numFmt w:val="decimal"/>
      <w:lvlText w:val=""/>
      <w:lvlJc w:val="left"/>
    </w:lvl>
    <w:lvl w:ilvl="5" w:tplc="C896CFF8">
      <w:numFmt w:val="decimal"/>
      <w:lvlText w:val=""/>
      <w:lvlJc w:val="left"/>
    </w:lvl>
    <w:lvl w:ilvl="6" w:tplc="09B4AD24">
      <w:numFmt w:val="decimal"/>
      <w:lvlText w:val=""/>
      <w:lvlJc w:val="left"/>
    </w:lvl>
    <w:lvl w:ilvl="7" w:tplc="DB04A054">
      <w:numFmt w:val="decimal"/>
      <w:lvlText w:val=""/>
      <w:lvlJc w:val="left"/>
    </w:lvl>
    <w:lvl w:ilvl="8" w:tplc="4B1E33E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8F6579E"/>
    <w:lvl w:ilvl="0" w:tplc="922880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F3269AC">
      <w:numFmt w:val="decimal"/>
      <w:lvlText w:val=""/>
      <w:lvlJc w:val="left"/>
    </w:lvl>
    <w:lvl w:ilvl="2" w:tplc="58868AC0">
      <w:numFmt w:val="decimal"/>
      <w:lvlText w:val=""/>
      <w:lvlJc w:val="left"/>
    </w:lvl>
    <w:lvl w:ilvl="3" w:tplc="5AD2ACE8">
      <w:numFmt w:val="decimal"/>
      <w:lvlText w:val=""/>
      <w:lvlJc w:val="left"/>
    </w:lvl>
    <w:lvl w:ilvl="4" w:tplc="C11CCAFA">
      <w:numFmt w:val="decimal"/>
      <w:lvlText w:val=""/>
      <w:lvlJc w:val="left"/>
    </w:lvl>
    <w:lvl w:ilvl="5" w:tplc="7A4AEB1A">
      <w:numFmt w:val="decimal"/>
      <w:lvlText w:val=""/>
      <w:lvlJc w:val="left"/>
    </w:lvl>
    <w:lvl w:ilvl="6" w:tplc="0464F442">
      <w:numFmt w:val="decimal"/>
      <w:lvlText w:val=""/>
      <w:lvlJc w:val="left"/>
    </w:lvl>
    <w:lvl w:ilvl="7" w:tplc="298E7BFC">
      <w:numFmt w:val="decimal"/>
      <w:lvlText w:val=""/>
      <w:lvlJc w:val="left"/>
    </w:lvl>
    <w:lvl w:ilvl="8" w:tplc="E1841F9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41304D52"/>
    <w:lvl w:ilvl="0" w:tplc="52E8025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5B047D2">
      <w:numFmt w:val="decimal"/>
      <w:lvlText w:val=""/>
      <w:lvlJc w:val="left"/>
    </w:lvl>
    <w:lvl w:ilvl="2" w:tplc="8FE85DA4">
      <w:numFmt w:val="decimal"/>
      <w:lvlText w:val=""/>
      <w:lvlJc w:val="left"/>
    </w:lvl>
    <w:lvl w:ilvl="3" w:tplc="B5B21B86">
      <w:numFmt w:val="decimal"/>
      <w:lvlText w:val=""/>
      <w:lvlJc w:val="left"/>
    </w:lvl>
    <w:lvl w:ilvl="4" w:tplc="3726164E">
      <w:numFmt w:val="decimal"/>
      <w:lvlText w:val=""/>
      <w:lvlJc w:val="left"/>
    </w:lvl>
    <w:lvl w:ilvl="5" w:tplc="0FCC667E">
      <w:numFmt w:val="decimal"/>
      <w:lvlText w:val=""/>
      <w:lvlJc w:val="left"/>
    </w:lvl>
    <w:lvl w:ilvl="6" w:tplc="850243BC">
      <w:numFmt w:val="decimal"/>
      <w:lvlText w:val=""/>
      <w:lvlJc w:val="left"/>
    </w:lvl>
    <w:lvl w:ilvl="7" w:tplc="CE86A58C">
      <w:numFmt w:val="decimal"/>
      <w:lvlText w:val=""/>
      <w:lvlJc w:val="left"/>
    </w:lvl>
    <w:lvl w:ilvl="8" w:tplc="67C2FEA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5E1E2782"/>
    <w:lvl w:ilvl="0" w:tplc="3DF66D9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9E65440">
      <w:numFmt w:val="decimal"/>
      <w:lvlText w:val=""/>
      <w:lvlJc w:val="left"/>
    </w:lvl>
    <w:lvl w:ilvl="2" w:tplc="77FA1124">
      <w:numFmt w:val="decimal"/>
      <w:lvlText w:val=""/>
      <w:lvlJc w:val="left"/>
    </w:lvl>
    <w:lvl w:ilvl="3" w:tplc="DA908A2E">
      <w:numFmt w:val="decimal"/>
      <w:lvlText w:val=""/>
      <w:lvlJc w:val="left"/>
    </w:lvl>
    <w:lvl w:ilvl="4" w:tplc="78C81B62">
      <w:numFmt w:val="decimal"/>
      <w:lvlText w:val=""/>
      <w:lvlJc w:val="left"/>
    </w:lvl>
    <w:lvl w:ilvl="5" w:tplc="C58298E6">
      <w:numFmt w:val="decimal"/>
      <w:lvlText w:val=""/>
      <w:lvlJc w:val="left"/>
    </w:lvl>
    <w:lvl w:ilvl="6" w:tplc="362A52F6">
      <w:numFmt w:val="decimal"/>
      <w:lvlText w:val=""/>
      <w:lvlJc w:val="left"/>
    </w:lvl>
    <w:lvl w:ilvl="7" w:tplc="1C66C7C6">
      <w:numFmt w:val="decimal"/>
      <w:lvlText w:val=""/>
      <w:lvlJc w:val="left"/>
    </w:lvl>
    <w:lvl w:ilvl="8" w:tplc="A5FE6CC2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6E2C82"/>
    <w:multiLevelType w:val="hybridMultilevel"/>
    <w:tmpl w:val="4DBC74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DC66A5"/>
    <w:multiLevelType w:val="hybridMultilevel"/>
    <w:tmpl w:val="31EA58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1" w15:restartNumberingAfterBreak="0">
    <w:nsid w:val="343514F3"/>
    <w:multiLevelType w:val="hybridMultilevel"/>
    <w:tmpl w:val="A90831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A6FE7"/>
    <w:multiLevelType w:val="hybridMultilevel"/>
    <w:tmpl w:val="6CC42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1950390">
    <w:abstractNumId w:val="25"/>
  </w:num>
  <w:num w:numId="2" w16cid:durableId="1694502663">
    <w:abstractNumId w:val="18"/>
  </w:num>
  <w:num w:numId="3" w16cid:durableId="773862996">
    <w:abstractNumId w:val="14"/>
  </w:num>
  <w:num w:numId="4" w16cid:durableId="1241452326">
    <w:abstractNumId w:val="28"/>
  </w:num>
  <w:num w:numId="5" w16cid:durableId="1181119714">
    <w:abstractNumId w:val="8"/>
  </w:num>
  <w:num w:numId="6" w16cid:durableId="1600914818">
    <w:abstractNumId w:val="3"/>
  </w:num>
  <w:num w:numId="7" w16cid:durableId="1089158428">
    <w:abstractNumId w:val="2"/>
  </w:num>
  <w:num w:numId="8" w16cid:durableId="487941911">
    <w:abstractNumId w:val="1"/>
  </w:num>
  <w:num w:numId="9" w16cid:durableId="1189562166">
    <w:abstractNumId w:val="0"/>
  </w:num>
  <w:num w:numId="10" w16cid:durableId="245965285">
    <w:abstractNumId w:val="9"/>
  </w:num>
  <w:num w:numId="11" w16cid:durableId="312099231">
    <w:abstractNumId w:val="7"/>
  </w:num>
  <w:num w:numId="12" w16cid:durableId="1763381442">
    <w:abstractNumId w:val="6"/>
  </w:num>
  <w:num w:numId="13" w16cid:durableId="75250048">
    <w:abstractNumId w:val="5"/>
  </w:num>
  <w:num w:numId="14" w16cid:durableId="455030245">
    <w:abstractNumId w:val="4"/>
  </w:num>
  <w:num w:numId="15" w16cid:durableId="854423258">
    <w:abstractNumId w:val="30"/>
  </w:num>
  <w:num w:numId="16" w16cid:durableId="388652377">
    <w:abstractNumId w:val="19"/>
  </w:num>
  <w:num w:numId="17" w16cid:durableId="295644584">
    <w:abstractNumId w:val="11"/>
  </w:num>
  <w:num w:numId="18" w16cid:durableId="983436183">
    <w:abstractNumId w:val="24"/>
  </w:num>
  <w:num w:numId="19" w16cid:durableId="246109617">
    <w:abstractNumId w:val="22"/>
  </w:num>
  <w:num w:numId="20" w16cid:durableId="795564529">
    <w:abstractNumId w:val="29"/>
  </w:num>
  <w:num w:numId="21" w16cid:durableId="1585846047">
    <w:abstractNumId w:val="20"/>
  </w:num>
  <w:num w:numId="22" w16cid:durableId="617179717">
    <w:abstractNumId w:val="10"/>
  </w:num>
  <w:num w:numId="23" w16cid:durableId="743796200">
    <w:abstractNumId w:val="12"/>
  </w:num>
  <w:num w:numId="24" w16cid:durableId="1087534161">
    <w:abstractNumId w:val="15"/>
  </w:num>
  <w:num w:numId="25" w16cid:durableId="888154943">
    <w:abstractNumId w:val="27"/>
  </w:num>
  <w:num w:numId="26" w16cid:durableId="476264707">
    <w:abstractNumId w:val="16"/>
  </w:num>
  <w:num w:numId="27" w16cid:durableId="1864247570">
    <w:abstractNumId w:val="26"/>
  </w:num>
  <w:num w:numId="28" w16cid:durableId="517081287">
    <w:abstractNumId w:val="17"/>
  </w:num>
  <w:num w:numId="29" w16cid:durableId="2037582179">
    <w:abstractNumId w:val="23"/>
  </w:num>
  <w:num w:numId="30" w16cid:durableId="1449078862">
    <w:abstractNumId w:val="21"/>
  </w:num>
  <w:num w:numId="31" w16cid:durableId="9031023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400D"/>
    <w:rsid w:val="0000470F"/>
    <w:rsid w:val="000058DB"/>
    <w:rsid w:val="000155D2"/>
    <w:rsid w:val="000212AC"/>
    <w:rsid w:val="000267BE"/>
    <w:rsid w:val="00033473"/>
    <w:rsid w:val="00037111"/>
    <w:rsid w:val="0004354D"/>
    <w:rsid w:val="00052912"/>
    <w:rsid w:val="00056898"/>
    <w:rsid w:val="000606B2"/>
    <w:rsid w:val="00062E27"/>
    <w:rsid w:val="00072169"/>
    <w:rsid w:val="00072BC3"/>
    <w:rsid w:val="00081397"/>
    <w:rsid w:val="00081444"/>
    <w:rsid w:val="00091C09"/>
    <w:rsid w:val="00096085"/>
    <w:rsid w:val="000A0D28"/>
    <w:rsid w:val="000A36F2"/>
    <w:rsid w:val="000A4B4A"/>
    <w:rsid w:val="000A6C46"/>
    <w:rsid w:val="000B221D"/>
    <w:rsid w:val="000C64F9"/>
    <w:rsid w:val="000D3F87"/>
    <w:rsid w:val="000D5070"/>
    <w:rsid w:val="000D5765"/>
    <w:rsid w:val="000F1C16"/>
    <w:rsid w:val="00101C8D"/>
    <w:rsid w:val="00107266"/>
    <w:rsid w:val="001107EB"/>
    <w:rsid w:val="00116808"/>
    <w:rsid w:val="00155434"/>
    <w:rsid w:val="00171FD1"/>
    <w:rsid w:val="00175884"/>
    <w:rsid w:val="001812ED"/>
    <w:rsid w:val="0018396E"/>
    <w:rsid w:val="00192819"/>
    <w:rsid w:val="00196AA8"/>
    <w:rsid w:val="00196E2E"/>
    <w:rsid w:val="001A117B"/>
    <w:rsid w:val="001A1978"/>
    <w:rsid w:val="001B2B90"/>
    <w:rsid w:val="001C14BC"/>
    <w:rsid w:val="001C569C"/>
    <w:rsid w:val="001C7E26"/>
    <w:rsid w:val="001D5AF1"/>
    <w:rsid w:val="001E1749"/>
    <w:rsid w:val="001F5CD4"/>
    <w:rsid w:val="00200F2B"/>
    <w:rsid w:val="00205B7E"/>
    <w:rsid w:val="00207B7B"/>
    <w:rsid w:val="00213A1B"/>
    <w:rsid w:val="00224FB2"/>
    <w:rsid w:val="0022721D"/>
    <w:rsid w:val="00230B80"/>
    <w:rsid w:val="00231771"/>
    <w:rsid w:val="00245D77"/>
    <w:rsid w:val="002515DC"/>
    <w:rsid w:val="00262E46"/>
    <w:rsid w:val="00267352"/>
    <w:rsid w:val="00270CD5"/>
    <w:rsid w:val="002819AF"/>
    <w:rsid w:val="00284E8B"/>
    <w:rsid w:val="00293FA0"/>
    <w:rsid w:val="002956BE"/>
    <w:rsid w:val="002A4709"/>
    <w:rsid w:val="002C4946"/>
    <w:rsid w:val="002C6667"/>
    <w:rsid w:val="002D2BA4"/>
    <w:rsid w:val="002E0F47"/>
    <w:rsid w:val="002F72BA"/>
    <w:rsid w:val="00301D1D"/>
    <w:rsid w:val="00301E34"/>
    <w:rsid w:val="003054C8"/>
    <w:rsid w:val="00312121"/>
    <w:rsid w:val="003151FC"/>
    <w:rsid w:val="0032655B"/>
    <w:rsid w:val="00330695"/>
    <w:rsid w:val="00335158"/>
    <w:rsid w:val="00337E94"/>
    <w:rsid w:val="00343262"/>
    <w:rsid w:val="003508A6"/>
    <w:rsid w:val="00351FF8"/>
    <w:rsid w:val="00353238"/>
    <w:rsid w:val="00353930"/>
    <w:rsid w:val="003546D8"/>
    <w:rsid w:val="00355927"/>
    <w:rsid w:val="00362B80"/>
    <w:rsid w:val="00364017"/>
    <w:rsid w:val="0036427D"/>
    <w:rsid w:val="00376140"/>
    <w:rsid w:val="00376F4E"/>
    <w:rsid w:val="00382A9B"/>
    <w:rsid w:val="00382B75"/>
    <w:rsid w:val="00382D75"/>
    <w:rsid w:val="00395723"/>
    <w:rsid w:val="003A2895"/>
    <w:rsid w:val="003A2EE8"/>
    <w:rsid w:val="003A38F0"/>
    <w:rsid w:val="003A3F47"/>
    <w:rsid w:val="003B04D2"/>
    <w:rsid w:val="003B262C"/>
    <w:rsid w:val="003C04E3"/>
    <w:rsid w:val="003E2C90"/>
    <w:rsid w:val="003E3477"/>
    <w:rsid w:val="003E5C9D"/>
    <w:rsid w:val="003F04D0"/>
    <w:rsid w:val="003F12AD"/>
    <w:rsid w:val="003F7F7C"/>
    <w:rsid w:val="004040AB"/>
    <w:rsid w:val="00405229"/>
    <w:rsid w:val="004056E1"/>
    <w:rsid w:val="00411DFE"/>
    <w:rsid w:val="00422C87"/>
    <w:rsid w:val="00430FD4"/>
    <w:rsid w:val="00432A73"/>
    <w:rsid w:val="00434B64"/>
    <w:rsid w:val="00437E61"/>
    <w:rsid w:val="00440B75"/>
    <w:rsid w:val="004451F0"/>
    <w:rsid w:val="0044607E"/>
    <w:rsid w:val="0045047D"/>
    <w:rsid w:val="004534F3"/>
    <w:rsid w:val="00454C73"/>
    <w:rsid w:val="0045730F"/>
    <w:rsid w:val="0046089E"/>
    <w:rsid w:val="0046426A"/>
    <w:rsid w:val="00465D7E"/>
    <w:rsid w:val="00472EA4"/>
    <w:rsid w:val="00474237"/>
    <w:rsid w:val="00481921"/>
    <w:rsid w:val="00485799"/>
    <w:rsid w:val="004857A2"/>
    <w:rsid w:val="004922E8"/>
    <w:rsid w:val="004937A6"/>
    <w:rsid w:val="00493B33"/>
    <w:rsid w:val="004959E1"/>
    <w:rsid w:val="004A6745"/>
    <w:rsid w:val="004A76FB"/>
    <w:rsid w:val="004B4F9D"/>
    <w:rsid w:val="004C0683"/>
    <w:rsid w:val="004C0D1E"/>
    <w:rsid w:val="004C209C"/>
    <w:rsid w:val="004D2FD5"/>
    <w:rsid w:val="004D405E"/>
    <w:rsid w:val="004D77C0"/>
    <w:rsid w:val="004E1120"/>
    <w:rsid w:val="00505FAC"/>
    <w:rsid w:val="005068C3"/>
    <w:rsid w:val="00514054"/>
    <w:rsid w:val="00526FCF"/>
    <w:rsid w:val="00544A76"/>
    <w:rsid w:val="00544D21"/>
    <w:rsid w:val="00545437"/>
    <w:rsid w:val="005530B2"/>
    <w:rsid w:val="0055720C"/>
    <w:rsid w:val="0057182D"/>
    <w:rsid w:val="00592497"/>
    <w:rsid w:val="005970F3"/>
    <w:rsid w:val="005975AB"/>
    <w:rsid w:val="00597B2B"/>
    <w:rsid w:val="005A6816"/>
    <w:rsid w:val="005B4933"/>
    <w:rsid w:val="005B4B65"/>
    <w:rsid w:val="005C7D27"/>
    <w:rsid w:val="005D5DD8"/>
    <w:rsid w:val="005E122C"/>
    <w:rsid w:val="005E7071"/>
    <w:rsid w:val="005F16A6"/>
    <w:rsid w:val="005F2009"/>
    <w:rsid w:val="005F78D3"/>
    <w:rsid w:val="006058C7"/>
    <w:rsid w:val="00606A39"/>
    <w:rsid w:val="00615139"/>
    <w:rsid w:val="00616B5B"/>
    <w:rsid w:val="00620CF7"/>
    <w:rsid w:val="0062601E"/>
    <w:rsid w:val="006270D2"/>
    <w:rsid w:val="0063104E"/>
    <w:rsid w:val="0064268E"/>
    <w:rsid w:val="00645904"/>
    <w:rsid w:val="00645FC9"/>
    <w:rsid w:val="00646028"/>
    <w:rsid w:val="006528C8"/>
    <w:rsid w:val="00662CEF"/>
    <w:rsid w:val="00663C70"/>
    <w:rsid w:val="00666921"/>
    <w:rsid w:val="006729FE"/>
    <w:rsid w:val="006770FA"/>
    <w:rsid w:val="00691512"/>
    <w:rsid w:val="00695B02"/>
    <w:rsid w:val="00697BAC"/>
    <w:rsid w:val="006A2610"/>
    <w:rsid w:val="006A3005"/>
    <w:rsid w:val="006A6914"/>
    <w:rsid w:val="006B0E88"/>
    <w:rsid w:val="006B29A7"/>
    <w:rsid w:val="006B6FA5"/>
    <w:rsid w:val="006C142E"/>
    <w:rsid w:val="006C3364"/>
    <w:rsid w:val="006E32D6"/>
    <w:rsid w:val="006E347A"/>
    <w:rsid w:val="006E4CFA"/>
    <w:rsid w:val="006F0AF5"/>
    <w:rsid w:val="006F312B"/>
    <w:rsid w:val="006F49B0"/>
    <w:rsid w:val="006F6711"/>
    <w:rsid w:val="00702155"/>
    <w:rsid w:val="007022B7"/>
    <w:rsid w:val="00704C19"/>
    <w:rsid w:val="007175D7"/>
    <w:rsid w:val="00720C62"/>
    <w:rsid w:val="00722E8F"/>
    <w:rsid w:val="007342BB"/>
    <w:rsid w:val="00734867"/>
    <w:rsid w:val="007416E1"/>
    <w:rsid w:val="00742A02"/>
    <w:rsid w:val="00743B9C"/>
    <w:rsid w:val="00745A93"/>
    <w:rsid w:val="00751F4B"/>
    <w:rsid w:val="007801F0"/>
    <w:rsid w:val="00786DAC"/>
    <w:rsid w:val="007A30FD"/>
    <w:rsid w:val="007A3210"/>
    <w:rsid w:val="007A434E"/>
    <w:rsid w:val="007B5C8E"/>
    <w:rsid w:val="007C553D"/>
    <w:rsid w:val="007E3032"/>
    <w:rsid w:val="007E5144"/>
    <w:rsid w:val="007F1180"/>
    <w:rsid w:val="007F3FB0"/>
    <w:rsid w:val="007F5345"/>
    <w:rsid w:val="00804865"/>
    <w:rsid w:val="00805AF8"/>
    <w:rsid w:val="00806BDE"/>
    <w:rsid w:val="00816537"/>
    <w:rsid w:val="00820304"/>
    <w:rsid w:val="008208AB"/>
    <w:rsid w:val="008217C5"/>
    <w:rsid w:val="008340C9"/>
    <w:rsid w:val="0084088B"/>
    <w:rsid w:val="00841F5C"/>
    <w:rsid w:val="00842D60"/>
    <w:rsid w:val="00846BB8"/>
    <w:rsid w:val="00866D98"/>
    <w:rsid w:val="0087014F"/>
    <w:rsid w:val="00874D10"/>
    <w:rsid w:val="0087530F"/>
    <w:rsid w:val="00876E64"/>
    <w:rsid w:val="00876F0E"/>
    <w:rsid w:val="00880DB4"/>
    <w:rsid w:val="00880DEA"/>
    <w:rsid w:val="00891E21"/>
    <w:rsid w:val="00891E7E"/>
    <w:rsid w:val="008A2603"/>
    <w:rsid w:val="008A3B6E"/>
    <w:rsid w:val="008B58A4"/>
    <w:rsid w:val="008F0095"/>
    <w:rsid w:val="00901391"/>
    <w:rsid w:val="00915B2E"/>
    <w:rsid w:val="00926AC0"/>
    <w:rsid w:val="009276F8"/>
    <w:rsid w:val="00941175"/>
    <w:rsid w:val="00945BBB"/>
    <w:rsid w:val="0095040A"/>
    <w:rsid w:val="00972D65"/>
    <w:rsid w:val="00974DE4"/>
    <w:rsid w:val="009750FC"/>
    <w:rsid w:val="00983483"/>
    <w:rsid w:val="00987900"/>
    <w:rsid w:val="00991667"/>
    <w:rsid w:val="0099290E"/>
    <w:rsid w:val="00996952"/>
    <w:rsid w:val="00996A8C"/>
    <w:rsid w:val="009974B8"/>
    <w:rsid w:val="009A2161"/>
    <w:rsid w:val="009A4485"/>
    <w:rsid w:val="009A7D48"/>
    <w:rsid w:val="009B31FB"/>
    <w:rsid w:val="009C1825"/>
    <w:rsid w:val="009C552A"/>
    <w:rsid w:val="009F2FE1"/>
    <w:rsid w:val="009F78A1"/>
    <w:rsid w:val="00A03948"/>
    <w:rsid w:val="00A125C8"/>
    <w:rsid w:val="00A13A07"/>
    <w:rsid w:val="00A20EFA"/>
    <w:rsid w:val="00A217F6"/>
    <w:rsid w:val="00A23958"/>
    <w:rsid w:val="00A25B4A"/>
    <w:rsid w:val="00A34D0A"/>
    <w:rsid w:val="00A3610A"/>
    <w:rsid w:val="00A411CF"/>
    <w:rsid w:val="00A41560"/>
    <w:rsid w:val="00A42EB2"/>
    <w:rsid w:val="00A43BFB"/>
    <w:rsid w:val="00A45161"/>
    <w:rsid w:val="00A51E79"/>
    <w:rsid w:val="00A54406"/>
    <w:rsid w:val="00A567AF"/>
    <w:rsid w:val="00A617E4"/>
    <w:rsid w:val="00A627BA"/>
    <w:rsid w:val="00A62E35"/>
    <w:rsid w:val="00A679E3"/>
    <w:rsid w:val="00A74436"/>
    <w:rsid w:val="00A75EAF"/>
    <w:rsid w:val="00A82116"/>
    <w:rsid w:val="00A83C5F"/>
    <w:rsid w:val="00A864C1"/>
    <w:rsid w:val="00A8753E"/>
    <w:rsid w:val="00AA471D"/>
    <w:rsid w:val="00AB3066"/>
    <w:rsid w:val="00AC06CF"/>
    <w:rsid w:val="00AC1704"/>
    <w:rsid w:val="00AC3C92"/>
    <w:rsid w:val="00AC6432"/>
    <w:rsid w:val="00AC7834"/>
    <w:rsid w:val="00AD58F0"/>
    <w:rsid w:val="00AE5638"/>
    <w:rsid w:val="00AE606C"/>
    <w:rsid w:val="00AF113A"/>
    <w:rsid w:val="00AF5ABF"/>
    <w:rsid w:val="00AF7941"/>
    <w:rsid w:val="00B20410"/>
    <w:rsid w:val="00B30547"/>
    <w:rsid w:val="00B3224E"/>
    <w:rsid w:val="00B338D6"/>
    <w:rsid w:val="00B50B90"/>
    <w:rsid w:val="00B57D39"/>
    <w:rsid w:val="00B63E13"/>
    <w:rsid w:val="00B72637"/>
    <w:rsid w:val="00B763DC"/>
    <w:rsid w:val="00B807F8"/>
    <w:rsid w:val="00B85050"/>
    <w:rsid w:val="00B86227"/>
    <w:rsid w:val="00B9625F"/>
    <w:rsid w:val="00BA37D0"/>
    <w:rsid w:val="00BB1389"/>
    <w:rsid w:val="00BB1DDD"/>
    <w:rsid w:val="00BB2D4F"/>
    <w:rsid w:val="00BC00CF"/>
    <w:rsid w:val="00BC55CB"/>
    <w:rsid w:val="00BC598B"/>
    <w:rsid w:val="00BF3FD8"/>
    <w:rsid w:val="00BF72DF"/>
    <w:rsid w:val="00C05D61"/>
    <w:rsid w:val="00C134AC"/>
    <w:rsid w:val="00C138AA"/>
    <w:rsid w:val="00C24978"/>
    <w:rsid w:val="00C27066"/>
    <w:rsid w:val="00C30CF5"/>
    <w:rsid w:val="00C32DB3"/>
    <w:rsid w:val="00C36E5A"/>
    <w:rsid w:val="00C40331"/>
    <w:rsid w:val="00C554B3"/>
    <w:rsid w:val="00C71AB9"/>
    <w:rsid w:val="00C77099"/>
    <w:rsid w:val="00C817A4"/>
    <w:rsid w:val="00C81AE2"/>
    <w:rsid w:val="00C854E6"/>
    <w:rsid w:val="00C86F5C"/>
    <w:rsid w:val="00CA209D"/>
    <w:rsid w:val="00CB07B3"/>
    <w:rsid w:val="00CB1ED3"/>
    <w:rsid w:val="00CB5ED2"/>
    <w:rsid w:val="00CC04E1"/>
    <w:rsid w:val="00CC282C"/>
    <w:rsid w:val="00CC4614"/>
    <w:rsid w:val="00CC5BC1"/>
    <w:rsid w:val="00CD5088"/>
    <w:rsid w:val="00CE3775"/>
    <w:rsid w:val="00CF4019"/>
    <w:rsid w:val="00CF4DEB"/>
    <w:rsid w:val="00CF705C"/>
    <w:rsid w:val="00D13E3B"/>
    <w:rsid w:val="00D225D2"/>
    <w:rsid w:val="00D27FCF"/>
    <w:rsid w:val="00D33638"/>
    <w:rsid w:val="00D35EBB"/>
    <w:rsid w:val="00D40C66"/>
    <w:rsid w:val="00D44D1B"/>
    <w:rsid w:val="00D50925"/>
    <w:rsid w:val="00D54181"/>
    <w:rsid w:val="00D54EAB"/>
    <w:rsid w:val="00D5765A"/>
    <w:rsid w:val="00D63FAC"/>
    <w:rsid w:val="00D8377E"/>
    <w:rsid w:val="00D90547"/>
    <w:rsid w:val="00D932FD"/>
    <w:rsid w:val="00DA3E43"/>
    <w:rsid w:val="00DA684D"/>
    <w:rsid w:val="00DA7082"/>
    <w:rsid w:val="00DB2E26"/>
    <w:rsid w:val="00DB2EFF"/>
    <w:rsid w:val="00DB33FD"/>
    <w:rsid w:val="00DC7ED7"/>
    <w:rsid w:val="00DD1434"/>
    <w:rsid w:val="00DD1B8F"/>
    <w:rsid w:val="00DE41F0"/>
    <w:rsid w:val="00DE77AF"/>
    <w:rsid w:val="00DE7F10"/>
    <w:rsid w:val="00E013CE"/>
    <w:rsid w:val="00E05A6E"/>
    <w:rsid w:val="00E11747"/>
    <w:rsid w:val="00E14893"/>
    <w:rsid w:val="00E1604C"/>
    <w:rsid w:val="00E21232"/>
    <w:rsid w:val="00E2581F"/>
    <w:rsid w:val="00E510BA"/>
    <w:rsid w:val="00E53C4D"/>
    <w:rsid w:val="00E574BA"/>
    <w:rsid w:val="00E64484"/>
    <w:rsid w:val="00E6648E"/>
    <w:rsid w:val="00E72153"/>
    <w:rsid w:val="00E72F4E"/>
    <w:rsid w:val="00E7387E"/>
    <w:rsid w:val="00E83DEB"/>
    <w:rsid w:val="00E90653"/>
    <w:rsid w:val="00E907D5"/>
    <w:rsid w:val="00E92316"/>
    <w:rsid w:val="00E927FF"/>
    <w:rsid w:val="00EA3B5F"/>
    <w:rsid w:val="00EB02D2"/>
    <w:rsid w:val="00EB07F5"/>
    <w:rsid w:val="00EB3A4A"/>
    <w:rsid w:val="00EB6996"/>
    <w:rsid w:val="00EB70E0"/>
    <w:rsid w:val="00EB7C04"/>
    <w:rsid w:val="00EC3593"/>
    <w:rsid w:val="00EC64BE"/>
    <w:rsid w:val="00ED0074"/>
    <w:rsid w:val="00ED357E"/>
    <w:rsid w:val="00EE4518"/>
    <w:rsid w:val="00EF764A"/>
    <w:rsid w:val="00F00B84"/>
    <w:rsid w:val="00F01A42"/>
    <w:rsid w:val="00F02D39"/>
    <w:rsid w:val="00F03C5E"/>
    <w:rsid w:val="00F04FB7"/>
    <w:rsid w:val="00F213E7"/>
    <w:rsid w:val="00F27157"/>
    <w:rsid w:val="00F31F30"/>
    <w:rsid w:val="00F430EB"/>
    <w:rsid w:val="00F57BA9"/>
    <w:rsid w:val="00F91254"/>
    <w:rsid w:val="00F91607"/>
    <w:rsid w:val="00F91EA1"/>
    <w:rsid w:val="00F933D2"/>
    <w:rsid w:val="00F9340B"/>
    <w:rsid w:val="00F96573"/>
    <w:rsid w:val="00FA5BA7"/>
    <w:rsid w:val="00FA6F44"/>
    <w:rsid w:val="00FB1296"/>
    <w:rsid w:val="00FB5A07"/>
    <w:rsid w:val="00FB611F"/>
    <w:rsid w:val="00FB786A"/>
    <w:rsid w:val="00FC3BB0"/>
    <w:rsid w:val="00FC495F"/>
    <w:rsid w:val="00FD574E"/>
    <w:rsid w:val="00FD6E05"/>
    <w:rsid w:val="00FD6F9A"/>
    <w:rsid w:val="00FE7E91"/>
    <w:rsid w:val="00FF76BA"/>
    <w:rsid w:val="6DE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forskningsetikk.no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gjeringen.no/contentassets/fd8d0dff9a594a81a5960bc4d15f9cac/instituttstrateg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elia.no/bransjeforeninger/ffa-forskningsinstituttenes-fellesarena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nes.landstad@abelia.no" TargetMode="External"/><Relationship Id="rId1" Type="http://schemas.openxmlformats.org/officeDocument/2006/relationships/hyperlink" Target="mailto:agnes.landstad@abelia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1200</Words>
  <Characters>6365</Characters>
  <Application>Microsoft Office Word</Application>
  <DocSecurity>0</DocSecurity>
  <Lines>53</Lines>
  <Paragraphs>15</Paragraphs>
  <ScaleCrop>false</ScaleCrop>
  <Company>NINA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3</cp:revision>
  <cp:lastPrinted>2023-08-18T09:48:00Z</cp:lastPrinted>
  <dcterms:created xsi:type="dcterms:W3CDTF">2023-08-14T08:24:00Z</dcterms:created>
  <dcterms:modified xsi:type="dcterms:W3CDTF">2023-08-18T09:48:00Z</dcterms:modified>
</cp:coreProperties>
</file>