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B7B" w14:textId="77777777" w:rsidR="00B5004D" w:rsidRDefault="00B5004D" w:rsidP="00B5004D">
      <w:pPr>
        <w:rPr>
          <w:rFonts w:asciiTheme="minorHAnsi" w:hAnsiTheme="minorHAnsi" w:cstheme="minorHAnsi"/>
          <w:sz w:val="22"/>
          <w:szCs w:val="22"/>
          <w:lang w:val="nn-NO"/>
        </w:rPr>
      </w:pPr>
      <w:r>
        <w:rPr>
          <w:rFonts w:asciiTheme="minorHAnsi" w:hAnsiTheme="minorHAnsi" w:cstheme="minorHAnsi"/>
          <w:sz w:val="22"/>
          <w:szCs w:val="22"/>
          <w:lang w:val="nn-NO"/>
        </w:rPr>
        <w:t>Kunnskapsdepartementet</w:t>
      </w:r>
    </w:p>
    <w:p w14:paraId="7A2D87F7" w14:textId="77777777" w:rsidR="00B5004D" w:rsidRDefault="00533477" w:rsidP="00B5004D">
      <w:pPr>
        <w:rPr>
          <w:rFonts w:asciiTheme="minorHAnsi" w:hAnsiTheme="minorHAnsi" w:cstheme="minorHAnsi"/>
          <w:sz w:val="22"/>
          <w:szCs w:val="22"/>
          <w:lang w:val="nn-NO"/>
        </w:rPr>
      </w:pPr>
      <w:hyperlink r:id="rId8" w:history="1">
        <w:r w:rsidR="00B5004D" w:rsidRPr="009A1A95">
          <w:rPr>
            <w:rStyle w:val="Hyperkobling"/>
            <w:rFonts w:asciiTheme="minorHAnsi" w:hAnsiTheme="minorHAnsi" w:cstheme="minorHAnsi"/>
            <w:sz w:val="22"/>
            <w:szCs w:val="22"/>
            <w:lang w:val="nn-NO"/>
          </w:rPr>
          <w:t>https://www.regjeringen.no/no/dokumenter/akademiskfrihet/id2905942/</w:t>
        </w:r>
      </w:hyperlink>
    </w:p>
    <w:p w14:paraId="309BEC18" w14:textId="5FBACF8A" w:rsidR="009A2161" w:rsidRDefault="009A2161" w:rsidP="00874D10">
      <w:pPr>
        <w:rPr>
          <w:rFonts w:ascii="Calibri" w:hAnsi="Calibri" w:cs="Calibri"/>
          <w:b/>
          <w:sz w:val="22"/>
          <w:szCs w:val="22"/>
          <w:lang w:val="nn-NO"/>
        </w:rPr>
      </w:pPr>
      <w:r>
        <w:rPr>
          <w:rFonts w:ascii="Calibri" w:hAnsi="Calibri" w:cs="Calibri"/>
          <w:b/>
          <w:sz w:val="22"/>
          <w:szCs w:val="22"/>
          <w:lang w:val="nn-NO"/>
        </w:rPr>
        <w:tab/>
      </w:r>
    </w:p>
    <w:p w14:paraId="19603401" w14:textId="3C10CC2E" w:rsidR="00691512" w:rsidRPr="00262E46" w:rsidRDefault="00806BDE" w:rsidP="00874D10">
      <w:pPr>
        <w:rPr>
          <w:lang w:val="nn-NO"/>
        </w:rPr>
      </w:pPr>
      <w:r w:rsidRPr="00262E46">
        <w:rPr>
          <w:lang w:val="nn-NO"/>
        </w:rPr>
        <w:tab/>
      </w:r>
      <w:r w:rsidRPr="00262E46">
        <w:rPr>
          <w:lang w:val="nn-NO"/>
        </w:rPr>
        <w:tab/>
      </w:r>
      <w:r w:rsidRPr="00262E46">
        <w:rPr>
          <w:lang w:val="nn-NO"/>
        </w:rPr>
        <w:tab/>
      </w:r>
    </w:p>
    <w:p w14:paraId="1AB7D37F" w14:textId="32AEB904" w:rsidR="00691512" w:rsidRPr="004B4F9D" w:rsidRDefault="00806BDE" w:rsidP="00691512">
      <w:pPr>
        <w:rPr>
          <w:rFonts w:ascii="Calibri" w:hAnsi="Calibri" w:cs="Calibri"/>
          <w:sz w:val="22"/>
          <w:szCs w:val="22"/>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62E46">
        <w:rPr>
          <w:lang w:val="nn-NO"/>
        </w:rPr>
        <w:t xml:space="preserve">         </w:t>
      </w:r>
      <w:r w:rsidR="00742A02" w:rsidRPr="004B4F9D">
        <w:rPr>
          <w:rFonts w:ascii="Calibri" w:hAnsi="Calibri" w:cs="Calibri"/>
          <w:sz w:val="22"/>
          <w:szCs w:val="22"/>
          <w:lang w:val="nn-NO"/>
        </w:rPr>
        <w:t>Oslo</w:t>
      </w:r>
      <w:r w:rsidR="00A25B4A" w:rsidRPr="004B4F9D">
        <w:rPr>
          <w:rFonts w:ascii="Calibri" w:hAnsi="Calibri" w:cs="Calibri"/>
          <w:sz w:val="22"/>
          <w:szCs w:val="22"/>
          <w:lang w:val="nn-NO"/>
        </w:rPr>
        <w:t>,</w:t>
      </w:r>
      <w:r w:rsidR="00742A02" w:rsidRPr="004B4F9D">
        <w:rPr>
          <w:rFonts w:ascii="Calibri" w:hAnsi="Calibri" w:cs="Calibri"/>
          <w:sz w:val="22"/>
          <w:szCs w:val="22"/>
          <w:lang w:val="nn-NO"/>
        </w:rPr>
        <w:t xml:space="preserve"> </w:t>
      </w:r>
      <w:r w:rsidR="000775B4">
        <w:rPr>
          <w:rFonts w:ascii="Calibri" w:hAnsi="Calibri" w:cs="Calibri"/>
          <w:sz w:val="22"/>
          <w:szCs w:val="22"/>
          <w:lang w:val="nn-NO"/>
        </w:rPr>
        <w:t>2</w:t>
      </w:r>
      <w:r w:rsidR="00533477">
        <w:rPr>
          <w:rFonts w:ascii="Calibri" w:hAnsi="Calibri" w:cs="Calibri"/>
          <w:sz w:val="22"/>
          <w:szCs w:val="22"/>
          <w:lang w:val="nn-NO"/>
        </w:rPr>
        <w:t>3</w:t>
      </w:r>
      <w:r w:rsidR="000775B4">
        <w:rPr>
          <w:rFonts w:ascii="Calibri" w:hAnsi="Calibri" w:cs="Calibri"/>
          <w:sz w:val="22"/>
          <w:szCs w:val="22"/>
          <w:lang w:val="nn-NO"/>
        </w:rPr>
        <w:t>.6.2022</w:t>
      </w:r>
    </w:p>
    <w:p w14:paraId="351F603E" w14:textId="7D1326DC" w:rsidR="000775B4" w:rsidRPr="00533477" w:rsidRDefault="000775B4" w:rsidP="000775B4">
      <w:pPr>
        <w:keepNext/>
        <w:keepLines/>
        <w:spacing w:before="480" w:line="276" w:lineRule="auto"/>
        <w:outlineLvl w:val="0"/>
        <w:rPr>
          <w:rFonts w:ascii="Calibri" w:hAnsi="Calibri" w:cs="Calibri"/>
          <w:b/>
          <w:bCs/>
          <w:color w:val="2E74B5"/>
          <w:sz w:val="28"/>
          <w:szCs w:val="28"/>
          <w:lang w:val="nn-NO" w:eastAsia="en-US"/>
        </w:rPr>
      </w:pPr>
      <w:r w:rsidRPr="00533477">
        <w:rPr>
          <w:rFonts w:ascii="Calibri" w:hAnsi="Calibri" w:cs="Calibri"/>
          <w:b/>
          <w:bCs/>
          <w:color w:val="2E74B5"/>
          <w:sz w:val="28"/>
          <w:szCs w:val="28"/>
          <w:lang w:val="nn-NO" w:eastAsia="en-US"/>
        </w:rPr>
        <w:t>Høringsuttalelse fra FFA til NOU 2022:2 Akademisk ytringsfrihet</w:t>
      </w:r>
    </w:p>
    <w:p w14:paraId="0B1A8D84" w14:textId="00B214B7" w:rsidR="000775B4" w:rsidRPr="00533477" w:rsidRDefault="000775B4" w:rsidP="000775B4">
      <w:pPr>
        <w:spacing w:line="264" w:lineRule="auto"/>
        <w:rPr>
          <w:rFonts w:ascii="Calibri" w:eastAsia="Calibri" w:hAnsi="Calibri"/>
          <w:sz w:val="22"/>
          <w:szCs w:val="22"/>
          <w:lang w:val="nn-NO" w:eastAsia="en-US"/>
        </w:rPr>
      </w:pPr>
      <w:r w:rsidRPr="00533477">
        <w:rPr>
          <w:rFonts w:ascii="Calibri" w:eastAsia="Calibri" w:hAnsi="Calibri"/>
          <w:sz w:val="22"/>
          <w:szCs w:val="22"/>
          <w:lang w:val="nn-NO" w:eastAsia="en-US"/>
        </w:rPr>
        <w:t>Vi viser til høringsbrev av 1.april 2022 og takker for muligheten til å gi våre vurderinger av NOU 2022:2 Akademisk ytringsfrihet.</w:t>
      </w:r>
      <w:r w:rsidR="00F61341" w:rsidRPr="00533477">
        <w:rPr>
          <w:rFonts w:ascii="Calibri" w:eastAsia="Calibri" w:hAnsi="Calibri"/>
          <w:sz w:val="22"/>
          <w:szCs w:val="22"/>
          <w:lang w:val="nn-NO" w:eastAsia="en-US"/>
        </w:rPr>
        <w:t xml:space="preserve"> </w:t>
      </w:r>
    </w:p>
    <w:p w14:paraId="706B646C" w14:textId="77777777" w:rsidR="00EA396D" w:rsidRPr="00533477" w:rsidRDefault="00EA396D" w:rsidP="000775B4">
      <w:pPr>
        <w:spacing w:line="264" w:lineRule="auto"/>
        <w:rPr>
          <w:rFonts w:ascii="Calibri" w:eastAsia="Calibri" w:hAnsi="Calibri"/>
          <w:sz w:val="22"/>
          <w:szCs w:val="22"/>
          <w:lang w:val="nn-NO" w:eastAsia="en-US"/>
        </w:rPr>
      </w:pPr>
    </w:p>
    <w:p w14:paraId="4B9A49F5" w14:textId="0AFBDFF8" w:rsidR="00EA396D" w:rsidRPr="00533477" w:rsidRDefault="00EA396D" w:rsidP="000775B4">
      <w:pPr>
        <w:spacing w:line="264" w:lineRule="auto"/>
        <w:rPr>
          <w:rFonts w:ascii="Calibri" w:eastAsia="Calibri" w:hAnsi="Calibri"/>
          <w:i/>
          <w:iCs/>
          <w:sz w:val="22"/>
          <w:szCs w:val="22"/>
          <w:lang w:val="nn-NO" w:eastAsia="en-US"/>
        </w:rPr>
      </w:pPr>
      <w:r w:rsidRPr="00533477">
        <w:rPr>
          <w:rFonts w:ascii="Calibri" w:eastAsia="Calibri" w:hAnsi="Calibri"/>
          <w:sz w:val="22"/>
          <w:szCs w:val="22"/>
          <w:lang w:val="nn-NO" w:eastAsia="en-US"/>
        </w:rPr>
        <w:t xml:space="preserve">Forskningsinstituttenes fellesarena, FFA representerer de 32 </w:t>
      </w:r>
      <w:r w:rsidR="004B247E" w:rsidRPr="00533477">
        <w:rPr>
          <w:rFonts w:ascii="Calibri" w:eastAsia="Calibri" w:hAnsi="Calibri"/>
          <w:sz w:val="22"/>
          <w:szCs w:val="22"/>
          <w:lang w:val="nn-NO" w:eastAsia="en-US"/>
        </w:rPr>
        <w:t>selvstendige forskningsinstitutter og -konsern som fyller kriteriene for grunnfinansiering fra Forskningsrådet, med til sammen 6500 årsverk og 10,2 mrd kr i årlig omsetning, derav 1,2 mrd kr fra utlandet.</w:t>
      </w:r>
      <w:r w:rsidR="005B2B4A" w:rsidRPr="00533477">
        <w:rPr>
          <w:lang w:val="nn-NO"/>
        </w:rPr>
        <w:t xml:space="preserve"> </w:t>
      </w:r>
      <w:r w:rsidR="005B2B4A" w:rsidRPr="00533477">
        <w:rPr>
          <w:rFonts w:ascii="Calibri" w:eastAsia="Calibri" w:hAnsi="Calibri"/>
          <w:sz w:val="22"/>
          <w:szCs w:val="22"/>
          <w:lang w:val="nn-NO" w:eastAsia="en-US"/>
        </w:rPr>
        <w:t xml:space="preserve">Forskningsinstituttenes samfunnsoppdrag er bl.a. beskrevet i Regjeringens </w:t>
      </w:r>
      <w:hyperlink r:id="rId9" w:history="1">
        <w:r w:rsidR="007F3A3C" w:rsidRPr="00533477">
          <w:rPr>
            <w:rFonts w:asciiTheme="minorHAnsi" w:hAnsiTheme="minorHAnsi" w:cstheme="minorHAnsi"/>
            <w:color w:val="0000FF"/>
            <w:sz w:val="22"/>
            <w:szCs w:val="22"/>
            <w:u w:val="single"/>
            <w:shd w:val="clear" w:color="auto" w:fill="FFFFFF"/>
            <w:lang w:val="nn-NO"/>
          </w:rPr>
          <w:t>Strategi for helhetlig instituttpolitikk</w:t>
        </w:r>
      </w:hyperlink>
      <w:r w:rsidR="007F3A3C" w:rsidRPr="00533477">
        <w:rPr>
          <w:rFonts w:ascii="Calibri" w:eastAsia="Calibri" w:hAnsi="Calibri"/>
          <w:sz w:val="22"/>
          <w:szCs w:val="22"/>
          <w:lang w:val="nn-NO" w:eastAsia="en-US"/>
        </w:rPr>
        <w:t xml:space="preserve"> </w:t>
      </w:r>
      <w:r w:rsidR="005B2B4A" w:rsidRPr="00533477">
        <w:rPr>
          <w:rFonts w:ascii="Calibri" w:eastAsia="Calibri" w:hAnsi="Calibri"/>
          <w:sz w:val="22"/>
          <w:szCs w:val="22"/>
          <w:lang w:val="nn-NO" w:eastAsia="en-US"/>
        </w:rPr>
        <w:t xml:space="preserve">(2020), bl.a: </w:t>
      </w:r>
      <w:r w:rsidR="005B2B4A" w:rsidRPr="00533477">
        <w:rPr>
          <w:rFonts w:ascii="Calibri" w:eastAsia="Calibri" w:hAnsi="Calibri"/>
          <w:i/>
          <w:iCs/>
          <w:sz w:val="22"/>
          <w:szCs w:val="22"/>
          <w:lang w:val="nn-NO" w:eastAsia="en-US"/>
        </w:rPr>
        <w:t>Instituttsektoren skal utvikle kunnskapsgrunnlag for politikkutforming og bidra til bærekraftig utvikling og omstilling, gjennom forskning av høy kvalitet og relevans.</w:t>
      </w:r>
    </w:p>
    <w:p w14:paraId="14B3C4FE" w14:textId="77777777" w:rsidR="000775B4" w:rsidRPr="00533477" w:rsidRDefault="000775B4" w:rsidP="000775B4">
      <w:pPr>
        <w:spacing w:line="264" w:lineRule="auto"/>
        <w:rPr>
          <w:rFonts w:ascii="Calibri" w:eastAsia="Calibri" w:hAnsi="Calibri"/>
          <w:sz w:val="22"/>
          <w:szCs w:val="22"/>
          <w:lang w:val="nn-NO" w:eastAsia="en-US"/>
        </w:rPr>
      </w:pPr>
    </w:p>
    <w:p w14:paraId="4F98F50D" w14:textId="58B05FE9" w:rsidR="000775B4" w:rsidRPr="000775B4" w:rsidRDefault="003762DC" w:rsidP="000775B4">
      <w:pPr>
        <w:spacing w:line="264" w:lineRule="auto"/>
        <w:rPr>
          <w:rFonts w:ascii="Calibri" w:eastAsia="Calibri" w:hAnsi="Calibri"/>
          <w:sz w:val="22"/>
          <w:szCs w:val="22"/>
          <w:lang w:eastAsia="en-US"/>
        </w:rPr>
      </w:pPr>
      <w:r w:rsidRPr="00533477">
        <w:rPr>
          <w:rFonts w:ascii="Calibri" w:eastAsia="Calibri" w:hAnsi="Calibri"/>
          <w:sz w:val="22"/>
          <w:szCs w:val="22"/>
          <w:lang w:val="nn-NO" w:eastAsia="en-US"/>
        </w:rPr>
        <w:t>Kierulf-u</w:t>
      </w:r>
      <w:r w:rsidR="000775B4" w:rsidRPr="00533477">
        <w:rPr>
          <w:rFonts w:ascii="Calibri" w:eastAsia="Calibri" w:hAnsi="Calibri"/>
          <w:sz w:val="22"/>
          <w:szCs w:val="22"/>
          <w:lang w:val="nn-NO" w:eastAsia="en-US"/>
        </w:rPr>
        <w:t xml:space="preserve">tvalgets mandat og sammensetning reflekterer at arbeidet er rettet mot Universitets- og høyskolesektoren (UH-sektoren) og deres arbeid med akademisk ytringsfrihet. </w:t>
      </w:r>
      <w:r w:rsidR="000775B4" w:rsidRPr="000775B4">
        <w:rPr>
          <w:rFonts w:ascii="Calibri" w:eastAsia="Calibri" w:hAnsi="Calibri"/>
          <w:sz w:val="22"/>
          <w:szCs w:val="22"/>
          <w:lang w:eastAsia="en-US"/>
        </w:rPr>
        <w:t xml:space="preserve">FFA mener det ville vært en styrke hvis en inkluderte de andre forskningsutførende sektorene og deres forskning i mandatet og i sammensetning av ekspertutvalget. En ville da i større grad kunne kommet frem til allmenngyldige anbefalinger. En slik innretning ville selvsagt skapt større bredde og kompleksitet. Vi har respekt for at det ikke var ønskelig fra oppdragsgivers side i denne omgang. Samtidig innebærer den prioriteringen at utvalgets rapport og anbefalinger i liten grad er relevant for instituttsektoren, som utgjør en vesentlig del av det forskningsutførende Norge. </w:t>
      </w:r>
    </w:p>
    <w:p w14:paraId="39FDD714" w14:textId="77777777" w:rsidR="000775B4" w:rsidRPr="000775B4" w:rsidRDefault="000775B4" w:rsidP="000775B4">
      <w:pPr>
        <w:spacing w:line="264" w:lineRule="auto"/>
        <w:rPr>
          <w:rFonts w:ascii="Calibri" w:eastAsia="Calibri" w:hAnsi="Calibri"/>
          <w:sz w:val="22"/>
          <w:szCs w:val="22"/>
          <w:lang w:eastAsia="en-US"/>
        </w:rPr>
      </w:pPr>
    </w:p>
    <w:p w14:paraId="5A30EE8F" w14:textId="240161ED" w:rsidR="000775B4" w:rsidRPr="000775B4" w:rsidRDefault="000775B4" w:rsidP="000775B4">
      <w:pPr>
        <w:spacing w:line="264" w:lineRule="auto"/>
        <w:rPr>
          <w:rFonts w:ascii="Calibri" w:eastAsia="Calibri" w:hAnsi="Calibri"/>
          <w:sz w:val="22"/>
          <w:szCs w:val="22"/>
          <w:lang w:eastAsia="en-US"/>
        </w:rPr>
      </w:pPr>
      <w:r w:rsidRPr="000775B4">
        <w:rPr>
          <w:rFonts w:ascii="Calibri" w:eastAsia="Calibri" w:hAnsi="Calibri"/>
          <w:sz w:val="22"/>
          <w:szCs w:val="22"/>
          <w:lang w:eastAsia="en-US"/>
        </w:rPr>
        <w:t xml:space="preserve">Utvalgets anbefalinger er dermed i liten grad </w:t>
      </w:r>
      <w:r w:rsidR="002D0523">
        <w:rPr>
          <w:rFonts w:ascii="Calibri" w:eastAsia="Calibri" w:hAnsi="Calibri"/>
          <w:sz w:val="22"/>
          <w:szCs w:val="22"/>
          <w:lang w:eastAsia="en-US"/>
        </w:rPr>
        <w:t>treffsikre</w:t>
      </w:r>
      <w:r w:rsidRPr="000775B4">
        <w:rPr>
          <w:rFonts w:ascii="Calibri" w:eastAsia="Calibri" w:hAnsi="Calibri"/>
          <w:sz w:val="22"/>
          <w:szCs w:val="22"/>
          <w:lang w:eastAsia="en-US"/>
        </w:rPr>
        <w:t xml:space="preserve"> ut over UH-sektoren, men utvalgets omtale av akademisk ytringsfrihet og forutsetninger for den, er langt på vei også gyldig for forskningsinstituttene og deres vitenskapelig ansatte. Bl.a. gis det relevante refleksjoner rundt klok ledelse, som å gi trening og støtte til medarbeidere til å delta i debatter, formidle og stå i mediestorm. Utvalgets diskusjon om medienes rolle er også eksempel på refleksjoner med gyldighet for forskningsinstituttene. Omtale av midlertidighet i UH-sektoren som hemmende for akademisk ytringsfrihet (kap.6.4.3) er interessant av andre grunner, i lys av at norske forskningsinstitutter har svært liten midlertidighet.</w:t>
      </w:r>
    </w:p>
    <w:p w14:paraId="223CCB0D" w14:textId="77777777" w:rsidR="000775B4" w:rsidRPr="000775B4" w:rsidRDefault="000775B4" w:rsidP="000775B4">
      <w:pPr>
        <w:spacing w:line="264" w:lineRule="auto"/>
        <w:rPr>
          <w:rFonts w:ascii="Calibri" w:eastAsia="Calibri" w:hAnsi="Calibri"/>
          <w:sz w:val="22"/>
          <w:szCs w:val="22"/>
          <w:lang w:eastAsia="en-US"/>
        </w:rPr>
      </w:pPr>
    </w:p>
    <w:p w14:paraId="1146892B" w14:textId="4ADE7F9B" w:rsidR="000775B4" w:rsidRPr="000775B4" w:rsidRDefault="000775B4" w:rsidP="000775B4">
      <w:pPr>
        <w:spacing w:line="264" w:lineRule="auto"/>
        <w:rPr>
          <w:rFonts w:ascii="Calibri" w:eastAsia="Calibri" w:hAnsi="Calibri"/>
          <w:sz w:val="22"/>
          <w:szCs w:val="22"/>
          <w:lang w:eastAsia="en-US"/>
        </w:rPr>
      </w:pPr>
      <w:r w:rsidRPr="000775B4">
        <w:rPr>
          <w:rFonts w:ascii="Calibri" w:eastAsia="Calibri" w:hAnsi="Calibri"/>
          <w:sz w:val="22"/>
          <w:szCs w:val="22"/>
          <w:lang w:eastAsia="en-US"/>
        </w:rPr>
        <w:t>Utvalget er et stykke unna praktiske realiteter i instituttsektoren når en omtaler representasjon og tittelbruk (kap.6.3) og bl.a. sier at vitenskapelig ansatte representerer bare seg selv og ikke sine institusjoner. I instituttene generelt og oppdragsforskning spesielt</w:t>
      </w:r>
      <w:r w:rsidR="00762B78">
        <w:rPr>
          <w:rFonts w:ascii="Calibri" w:eastAsia="Calibri" w:hAnsi="Calibri"/>
          <w:sz w:val="22"/>
          <w:szCs w:val="22"/>
          <w:lang w:eastAsia="en-US"/>
        </w:rPr>
        <w:t>,</w:t>
      </w:r>
      <w:r w:rsidRPr="000775B4">
        <w:rPr>
          <w:rFonts w:ascii="Calibri" w:eastAsia="Calibri" w:hAnsi="Calibri"/>
          <w:sz w:val="22"/>
          <w:szCs w:val="22"/>
          <w:lang w:eastAsia="en-US"/>
        </w:rPr>
        <w:t xml:space="preserve"> er det vanlig at forskerne har mindre innflytelse over temaet for forskningen enn i UH-sektoren, og forskningsresultatene er i større grad et resultat av arbeidet i en forskningsgruppe og kommuniseres deretter. </w:t>
      </w:r>
    </w:p>
    <w:p w14:paraId="5A08E91F" w14:textId="77777777" w:rsidR="000775B4" w:rsidRPr="000775B4" w:rsidRDefault="000775B4" w:rsidP="000775B4">
      <w:pPr>
        <w:spacing w:line="264" w:lineRule="auto"/>
        <w:rPr>
          <w:rFonts w:ascii="Calibri" w:eastAsia="Calibri" w:hAnsi="Calibri"/>
          <w:sz w:val="22"/>
          <w:szCs w:val="22"/>
          <w:lang w:eastAsia="en-US"/>
        </w:rPr>
      </w:pPr>
    </w:p>
    <w:p w14:paraId="22E43470" w14:textId="77777777" w:rsidR="000775B4" w:rsidRPr="000775B4" w:rsidRDefault="000775B4" w:rsidP="000775B4">
      <w:pPr>
        <w:spacing w:line="264" w:lineRule="auto"/>
        <w:rPr>
          <w:rFonts w:ascii="Calibri" w:eastAsia="Calibri" w:hAnsi="Calibri"/>
          <w:sz w:val="22"/>
          <w:szCs w:val="22"/>
          <w:lang w:eastAsia="en-US"/>
        </w:rPr>
      </w:pPr>
      <w:r w:rsidRPr="000775B4">
        <w:rPr>
          <w:rFonts w:ascii="Calibri" w:eastAsia="Calibri" w:hAnsi="Calibri"/>
          <w:sz w:val="22"/>
          <w:szCs w:val="22"/>
          <w:lang w:eastAsia="en-US"/>
        </w:rPr>
        <w:t>Akademisk ytringsfrihet i forskning basert på ekstern finansiering og oppdragsforskning i instituttene problematiseres i kap.6.4.5. Problemstillingene rundt forskningens frihet i oppdragsforskning er etter vårt syn relevant og krever prosedyrer, bevissthet og kunnskap hos ledere og forskere. FFA mener at denne typen forskning håndteres godt i instituttsektoren, som over lang tid har etablert velprøvde praksiser, bl.a. omtalt i artikkel av Fløtten og Holden i 2018</w:t>
      </w:r>
      <w:r w:rsidRPr="000775B4">
        <w:rPr>
          <w:rFonts w:ascii="Calibri" w:eastAsia="Calibri" w:hAnsi="Calibri"/>
          <w:sz w:val="22"/>
          <w:szCs w:val="22"/>
          <w:vertAlign w:val="superscript"/>
          <w:lang w:eastAsia="en-US"/>
        </w:rPr>
        <w:footnoteReference w:id="1"/>
      </w:r>
      <w:r w:rsidRPr="000775B4">
        <w:rPr>
          <w:rFonts w:ascii="Calibri" w:eastAsia="Calibri" w:hAnsi="Calibri"/>
          <w:sz w:val="22"/>
          <w:szCs w:val="22"/>
          <w:lang w:eastAsia="en-US"/>
        </w:rPr>
        <w:t xml:space="preserve">. </w:t>
      </w:r>
    </w:p>
    <w:p w14:paraId="27BC6EED" w14:textId="77777777" w:rsidR="000775B4" w:rsidRPr="000775B4" w:rsidRDefault="000775B4" w:rsidP="000775B4">
      <w:pPr>
        <w:spacing w:line="264" w:lineRule="auto"/>
        <w:rPr>
          <w:rFonts w:ascii="Calibri" w:eastAsia="Calibri" w:hAnsi="Calibri"/>
          <w:sz w:val="22"/>
          <w:szCs w:val="22"/>
          <w:lang w:eastAsia="en-US"/>
        </w:rPr>
      </w:pPr>
    </w:p>
    <w:p w14:paraId="02F84375" w14:textId="77777777" w:rsidR="000775B4" w:rsidRPr="000775B4" w:rsidRDefault="000775B4" w:rsidP="000775B4">
      <w:pPr>
        <w:spacing w:line="264" w:lineRule="auto"/>
        <w:rPr>
          <w:rFonts w:ascii="Calibri" w:eastAsia="Calibri" w:hAnsi="Calibri"/>
          <w:sz w:val="22"/>
          <w:szCs w:val="22"/>
          <w:lang w:eastAsia="en-US"/>
        </w:rPr>
      </w:pPr>
      <w:r w:rsidRPr="000775B4">
        <w:rPr>
          <w:rFonts w:ascii="Calibri" w:eastAsia="Calibri" w:hAnsi="Calibri"/>
          <w:sz w:val="22"/>
          <w:szCs w:val="22"/>
          <w:lang w:eastAsia="en-US"/>
        </w:rPr>
        <w:lastRenderedPageBreak/>
        <w:t>Vi merker oss ellers at i samme avsnitt peker utvalget på norsk UH-sektors høye direktefinansiering, som i utvalgets forståelse gjør norske UH-institusjoner bedre egnet til å ivareta akademisk ytringsfrihet.</w:t>
      </w:r>
    </w:p>
    <w:p w14:paraId="09408C51" w14:textId="77777777" w:rsidR="000775B4" w:rsidRPr="000775B4" w:rsidRDefault="000775B4" w:rsidP="000775B4">
      <w:pPr>
        <w:spacing w:line="264" w:lineRule="auto"/>
        <w:rPr>
          <w:rFonts w:ascii="Calibri" w:eastAsia="Calibri" w:hAnsi="Calibri"/>
          <w:sz w:val="22"/>
          <w:szCs w:val="22"/>
          <w:lang w:eastAsia="en-US"/>
        </w:rPr>
      </w:pPr>
    </w:p>
    <w:p w14:paraId="7FD589AB" w14:textId="799A5217" w:rsidR="000775B4" w:rsidRPr="000775B4" w:rsidRDefault="000775B4" w:rsidP="000775B4">
      <w:pPr>
        <w:spacing w:line="264" w:lineRule="auto"/>
        <w:rPr>
          <w:rFonts w:ascii="Calibri" w:eastAsia="Calibri" w:hAnsi="Calibri"/>
          <w:sz w:val="22"/>
          <w:szCs w:val="22"/>
          <w:lang w:eastAsia="en-US"/>
        </w:rPr>
      </w:pPr>
      <w:r w:rsidRPr="000775B4">
        <w:rPr>
          <w:rFonts w:ascii="Calibri" w:eastAsia="Calibri" w:hAnsi="Calibri"/>
          <w:sz w:val="22"/>
          <w:szCs w:val="22"/>
          <w:lang w:eastAsia="en-US"/>
        </w:rPr>
        <w:t>I all hovedsak er rapporten innrettet mot UH-institusjonene og deres rammer for akademisk ytringsfrihet som er lovfestet i UH-loven. I den grad instituttsektoren og instituttenes samfunnsoppdrag og rammevilkår er omtalt, er det innsiktsfullt gjort.</w:t>
      </w:r>
      <w:r w:rsidR="00762B78">
        <w:rPr>
          <w:rFonts w:ascii="Calibri" w:eastAsia="Calibri" w:hAnsi="Calibri"/>
          <w:sz w:val="22"/>
          <w:szCs w:val="22"/>
          <w:lang w:eastAsia="en-US"/>
        </w:rPr>
        <w:t xml:space="preserve"> </w:t>
      </w:r>
      <w:r w:rsidRPr="000775B4">
        <w:rPr>
          <w:rFonts w:ascii="Calibri" w:eastAsia="Calibri" w:hAnsi="Calibri"/>
          <w:sz w:val="22"/>
          <w:szCs w:val="22"/>
          <w:lang w:eastAsia="en-US"/>
        </w:rPr>
        <w:t>Det kan være verd å merke seg at Forskningsetisk utvalg i FFA har utarbeidet et diskusjonsnotat om forskningens frihet i forskningsinstituttene</w:t>
      </w:r>
      <w:r w:rsidRPr="000775B4">
        <w:rPr>
          <w:rFonts w:ascii="Calibri" w:eastAsia="Calibri" w:hAnsi="Calibri"/>
          <w:color w:val="0563C1"/>
          <w:sz w:val="22"/>
          <w:szCs w:val="22"/>
          <w:u w:val="single"/>
          <w:vertAlign w:val="superscript"/>
          <w:lang w:eastAsia="en-US"/>
        </w:rPr>
        <w:footnoteReference w:id="2"/>
      </w:r>
      <w:r w:rsidRPr="000775B4">
        <w:rPr>
          <w:rFonts w:ascii="Calibri" w:eastAsia="Calibri" w:hAnsi="Calibri"/>
          <w:sz w:val="22"/>
          <w:szCs w:val="22"/>
          <w:lang w:eastAsia="en-US"/>
        </w:rPr>
        <w:t>. Diskusjonsnotatet omhandler bl.a. publisering og ytringsfrihet.</w:t>
      </w:r>
    </w:p>
    <w:p w14:paraId="3E0F6CC5" w14:textId="77777777" w:rsidR="000775B4" w:rsidRPr="000775B4" w:rsidRDefault="000775B4" w:rsidP="000775B4">
      <w:pPr>
        <w:spacing w:line="264" w:lineRule="auto"/>
        <w:rPr>
          <w:rFonts w:ascii="Calibri" w:eastAsia="Calibri" w:hAnsi="Calibri"/>
          <w:sz w:val="22"/>
          <w:szCs w:val="22"/>
          <w:lang w:eastAsia="en-US"/>
        </w:rPr>
      </w:pPr>
      <w:r w:rsidRPr="000775B4">
        <w:rPr>
          <w:rFonts w:ascii="Calibri" w:eastAsia="Calibri" w:hAnsi="Calibri"/>
          <w:sz w:val="22"/>
          <w:szCs w:val="22"/>
          <w:lang w:eastAsia="en-US"/>
        </w:rPr>
        <w:t xml:space="preserve"> </w:t>
      </w:r>
    </w:p>
    <w:p w14:paraId="70CC9A0E" w14:textId="6EC1B126" w:rsidR="000775B4" w:rsidRPr="000775B4" w:rsidRDefault="000775B4" w:rsidP="000775B4">
      <w:pPr>
        <w:spacing w:line="264" w:lineRule="auto"/>
        <w:rPr>
          <w:rFonts w:ascii="Calibri" w:eastAsia="Calibri" w:hAnsi="Calibri"/>
          <w:sz w:val="22"/>
          <w:szCs w:val="22"/>
          <w:lang w:eastAsia="en-US"/>
        </w:rPr>
      </w:pPr>
      <w:r w:rsidRPr="000775B4">
        <w:rPr>
          <w:rFonts w:ascii="Calibri" w:eastAsia="Calibri" w:hAnsi="Calibri"/>
          <w:sz w:val="22"/>
          <w:szCs w:val="22"/>
          <w:lang w:eastAsia="en-US"/>
        </w:rPr>
        <w:t xml:space="preserve">FFA mener det viktigste tiltaket </w:t>
      </w:r>
      <w:r w:rsidR="00585201">
        <w:rPr>
          <w:rFonts w:ascii="Calibri" w:eastAsia="Calibri" w:hAnsi="Calibri"/>
          <w:sz w:val="22"/>
          <w:szCs w:val="22"/>
          <w:lang w:eastAsia="en-US"/>
        </w:rPr>
        <w:t xml:space="preserve">for å fremme akademisk ytringsfrihet </w:t>
      </w:r>
      <w:r w:rsidRPr="000775B4">
        <w:rPr>
          <w:rFonts w:ascii="Calibri" w:eastAsia="Calibri" w:hAnsi="Calibri"/>
          <w:sz w:val="22"/>
          <w:szCs w:val="22"/>
          <w:lang w:eastAsia="en-US"/>
        </w:rPr>
        <w:t>vil være å holde en løpende diskusjon om forskningens og forskernes frihet for å øke bevissthet og kunnskap blant alle ansatte. Akademisk ytringsfrihet må etter vårt syn være knyttet til forskningsetikk i bredt</w:t>
      </w:r>
      <w:r w:rsidR="00636729">
        <w:rPr>
          <w:rFonts w:ascii="Calibri" w:eastAsia="Calibri" w:hAnsi="Calibri"/>
          <w:sz w:val="22"/>
          <w:szCs w:val="22"/>
          <w:lang w:eastAsia="en-US"/>
        </w:rPr>
        <w:t>. En</w:t>
      </w:r>
      <w:r w:rsidRPr="000775B4">
        <w:rPr>
          <w:rFonts w:ascii="Calibri" w:eastAsia="Calibri" w:hAnsi="Calibri"/>
          <w:sz w:val="22"/>
          <w:szCs w:val="22"/>
          <w:lang w:eastAsia="en-US"/>
        </w:rPr>
        <w:t xml:space="preserve"> ev erklæring</w:t>
      </w:r>
      <w:r w:rsidR="00636729">
        <w:rPr>
          <w:rFonts w:ascii="Calibri" w:eastAsia="Calibri" w:hAnsi="Calibri"/>
          <w:sz w:val="22"/>
          <w:szCs w:val="22"/>
          <w:lang w:eastAsia="en-US"/>
        </w:rPr>
        <w:t xml:space="preserve"> som foreslås av utvalget,</w:t>
      </w:r>
      <w:r w:rsidRPr="000775B4">
        <w:rPr>
          <w:rFonts w:ascii="Calibri" w:eastAsia="Calibri" w:hAnsi="Calibri"/>
          <w:sz w:val="22"/>
          <w:szCs w:val="22"/>
          <w:lang w:eastAsia="en-US"/>
        </w:rPr>
        <w:t xml:space="preserve"> bør inngå som en del av de forskningsetiske retningslinjene ved FoU-organisasjonen.</w:t>
      </w:r>
    </w:p>
    <w:p w14:paraId="743EF8C7" w14:textId="77777777" w:rsidR="000775B4" w:rsidRPr="000775B4" w:rsidRDefault="000775B4" w:rsidP="000775B4">
      <w:pPr>
        <w:spacing w:line="264" w:lineRule="auto"/>
        <w:rPr>
          <w:rFonts w:ascii="Calibri" w:eastAsia="Calibri" w:hAnsi="Calibri"/>
          <w:sz w:val="22"/>
          <w:szCs w:val="22"/>
          <w:lang w:eastAsia="en-US"/>
        </w:rPr>
      </w:pPr>
    </w:p>
    <w:p w14:paraId="5FB202CF" w14:textId="77777777" w:rsidR="009C4386" w:rsidRDefault="009C4386" w:rsidP="000775B4">
      <w:pPr>
        <w:spacing w:line="264" w:lineRule="auto"/>
        <w:rPr>
          <w:rFonts w:ascii="Calibri" w:eastAsia="Calibri" w:hAnsi="Calibri"/>
          <w:szCs w:val="24"/>
          <w:lang w:eastAsia="en-US"/>
        </w:rPr>
      </w:pPr>
    </w:p>
    <w:p w14:paraId="6C226EF3" w14:textId="77777777" w:rsidR="00176129" w:rsidRPr="00FB1296" w:rsidRDefault="00176129" w:rsidP="00176129">
      <w:pPr>
        <w:rPr>
          <w:rFonts w:asciiTheme="minorHAnsi" w:hAnsiTheme="minorHAnsi" w:cstheme="minorHAnsi"/>
          <w:sz w:val="22"/>
          <w:szCs w:val="22"/>
        </w:rPr>
      </w:pPr>
    </w:p>
    <w:p w14:paraId="20F69AEC" w14:textId="77777777" w:rsidR="00C71BD2" w:rsidRDefault="00176129" w:rsidP="00176129">
      <w:pPr>
        <w:rPr>
          <w:rFonts w:ascii="Calibri" w:hAnsi="Calibri" w:cs="Calibri"/>
          <w:sz w:val="22"/>
          <w:szCs w:val="22"/>
        </w:rPr>
      </w:pPr>
      <w:r w:rsidRPr="00874D10">
        <w:rPr>
          <w:rFonts w:ascii="Calibri" w:hAnsi="Calibri" w:cs="Calibri"/>
          <w:sz w:val="22"/>
          <w:szCs w:val="22"/>
        </w:rPr>
        <w:t>Vennlig hilsen</w:t>
      </w:r>
      <w:r>
        <w:rPr>
          <w:rFonts w:ascii="Calibri" w:hAnsi="Calibri" w:cs="Calibri"/>
          <w:sz w:val="22"/>
          <w:szCs w:val="22"/>
        </w:rPr>
        <w:tab/>
      </w:r>
    </w:p>
    <w:p w14:paraId="00075BC4" w14:textId="716DEBA9" w:rsidR="00176129" w:rsidRPr="00874D10" w:rsidRDefault="00176129" w:rsidP="00176129">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5581F95" w14:textId="77777777" w:rsidR="00176129" w:rsidRPr="00874D10" w:rsidRDefault="00176129" w:rsidP="00176129">
      <w:pPr>
        <w:rPr>
          <w:rFonts w:ascii="Calibri" w:hAnsi="Calibri" w:cs="Calibri"/>
          <w:sz w:val="22"/>
          <w:szCs w:val="22"/>
        </w:rPr>
      </w:pPr>
      <w:r w:rsidRPr="007A291A">
        <w:rPr>
          <w:rFonts w:ascii="Palatino Linotype" w:hAnsi="Palatino Linotype"/>
          <w:noProof/>
        </w:rPr>
        <w:drawing>
          <wp:anchor distT="0" distB="0" distL="114300" distR="114300" simplePos="0" relativeHeight="251659264" behindDoc="0" locked="0" layoutInCell="1" allowOverlap="1" wp14:anchorId="4B5236C9" wp14:editId="2C0C8986">
            <wp:simplePos x="0" y="0"/>
            <wp:positionH relativeFrom="column">
              <wp:posOffset>9335</wp:posOffset>
            </wp:positionH>
            <wp:positionV relativeFrom="paragraph">
              <wp:posOffset>8890</wp:posOffset>
            </wp:positionV>
            <wp:extent cx="1076325" cy="338455"/>
            <wp:effectExtent l="0" t="0" r="9525" b="4445"/>
            <wp:wrapNone/>
            <wp:docPr id="15" name="Picture 2" descr="lars_holden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_holden_signat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3384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noProof/>
          <w:sz w:val="22"/>
          <w:szCs w:val="22"/>
        </w:rPr>
        <w:drawing>
          <wp:inline distT="0" distB="0" distL="0" distR="0" wp14:anchorId="78049E9C" wp14:editId="6445CB11">
            <wp:extent cx="1073150" cy="377825"/>
            <wp:effectExtent l="0" t="0" r="0" b="3175"/>
            <wp:docPr id="6" name="Bilde 6"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377825"/>
                    </a:xfrm>
                    <a:prstGeom prst="rect">
                      <a:avLst/>
                    </a:prstGeom>
                    <a:noFill/>
                  </pic:spPr>
                </pic:pic>
              </a:graphicData>
            </a:graphic>
          </wp:inline>
        </w:drawing>
      </w:r>
    </w:p>
    <w:p w14:paraId="10C06582" w14:textId="77777777" w:rsidR="00176129" w:rsidRPr="00874D10" w:rsidRDefault="00176129" w:rsidP="00176129">
      <w:pPr>
        <w:rPr>
          <w:rFonts w:ascii="Calibri" w:hAnsi="Calibri" w:cs="Calibri"/>
          <w:i/>
          <w:sz w:val="22"/>
          <w:szCs w:val="22"/>
        </w:rPr>
      </w:pPr>
      <w:r>
        <w:rPr>
          <w:rFonts w:ascii="Calibri" w:hAnsi="Calibri" w:cs="Calibri"/>
          <w:i/>
          <w:sz w:val="22"/>
          <w:szCs w:val="22"/>
        </w:rPr>
        <w:t>Lars Holden</w:t>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Pr="00874D10">
        <w:rPr>
          <w:rFonts w:ascii="Calibri" w:hAnsi="Calibri" w:cs="Calibri"/>
          <w:i/>
          <w:sz w:val="22"/>
          <w:szCs w:val="22"/>
        </w:rPr>
        <w:t>Agnes Landstad</w:t>
      </w:r>
    </w:p>
    <w:p w14:paraId="4002ED31" w14:textId="77777777" w:rsidR="00176129" w:rsidRPr="00874D10" w:rsidRDefault="00176129" w:rsidP="00176129">
      <w:pPr>
        <w:rPr>
          <w:rFonts w:ascii="Calibri" w:hAnsi="Calibri" w:cs="Calibri"/>
          <w:sz w:val="18"/>
          <w:szCs w:val="18"/>
        </w:rPr>
      </w:pPr>
      <w:r>
        <w:rPr>
          <w:rFonts w:ascii="Calibri" w:hAnsi="Calibri" w:cs="Calibri"/>
          <w:sz w:val="18"/>
          <w:szCs w:val="18"/>
        </w:rPr>
        <w:t>Styreleder FFA</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874D10">
        <w:rPr>
          <w:rFonts w:ascii="Calibri" w:hAnsi="Calibri" w:cs="Calibri"/>
          <w:sz w:val="18"/>
          <w:szCs w:val="18"/>
        </w:rPr>
        <w:t>Daglig leder FFA</w:t>
      </w:r>
    </w:p>
    <w:p w14:paraId="1214E29E" w14:textId="77777777" w:rsidR="000775B4" w:rsidRPr="00176129" w:rsidRDefault="000775B4" w:rsidP="00691512"/>
    <w:sectPr w:rsidR="000775B4" w:rsidRPr="00176129" w:rsidSect="000D5765">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30AA" w14:textId="77777777" w:rsidR="00A2676B" w:rsidRDefault="00A2676B" w:rsidP="0032655B">
      <w:r>
        <w:separator/>
      </w:r>
    </w:p>
  </w:endnote>
  <w:endnote w:type="continuationSeparator" w:id="0">
    <w:p w14:paraId="20EE0215" w14:textId="77777777" w:rsidR="00A2676B" w:rsidRDefault="00A2676B"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3816" w14:textId="77777777" w:rsidR="006C142E" w:rsidRDefault="006C142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61908040"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447E3880" wp14:editId="74BF97F9">
              <wp:simplePos x="0" y="0"/>
              <wp:positionH relativeFrom="column">
                <wp:posOffset>-262313</wp:posOffset>
              </wp:positionH>
              <wp:positionV relativeFrom="paragraph">
                <wp:posOffset>-242397</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533477"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20.65pt;margin-top:-19.1pt;width:582.5pt;height:6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995AEAAKsDAAAOAAAAZHJzL2Uyb0RvYy54bWysU02P0zAQvSPxHyzfadrS3XS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3"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533477" w:rsidP="006F312B">
                    <w:pPr>
                      <w:pStyle w:val="Topptekst"/>
                      <w:rPr>
                        <w:rFonts w:asciiTheme="minorHAnsi" w:hAnsiTheme="minorHAnsi" w:cstheme="minorHAnsi"/>
                        <w:sz w:val="18"/>
                        <w:szCs w:val="18"/>
                        <w:lang w:val="nn-NO"/>
                      </w:rPr>
                    </w:pPr>
                    <w:hyperlink r:id="rId4"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69504"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71552"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6745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5168" behindDoc="0" locked="0" layoutInCell="1" allowOverlap="1" wp14:anchorId="764D508A" wp14:editId="7F950D8F">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8F64" w14:textId="77777777" w:rsidR="00A2676B" w:rsidRDefault="00A2676B" w:rsidP="0032655B">
      <w:r>
        <w:separator/>
      </w:r>
    </w:p>
  </w:footnote>
  <w:footnote w:type="continuationSeparator" w:id="0">
    <w:p w14:paraId="26697D1E" w14:textId="77777777" w:rsidR="00A2676B" w:rsidRDefault="00A2676B" w:rsidP="0032655B">
      <w:r>
        <w:continuationSeparator/>
      </w:r>
    </w:p>
  </w:footnote>
  <w:footnote w:id="1">
    <w:p w14:paraId="7399C1D4" w14:textId="77777777" w:rsidR="000775B4" w:rsidRDefault="000775B4" w:rsidP="000775B4">
      <w:pPr>
        <w:pStyle w:val="Fotnotetekst"/>
      </w:pPr>
      <w:r>
        <w:rPr>
          <w:rStyle w:val="Fotnotereferanse"/>
        </w:rPr>
        <w:footnoteRef/>
      </w:r>
      <w:r>
        <w:t xml:space="preserve"> </w:t>
      </w:r>
      <w:hyperlink r:id="rId1" w:history="1">
        <w:r w:rsidRPr="00742BBC">
          <w:rPr>
            <w:rStyle w:val="Hyperkobling"/>
            <w:i/>
            <w:iCs/>
          </w:rPr>
          <w:t>Forskningsetikk for oppdragsforskning</w:t>
        </w:r>
        <w:r w:rsidRPr="00742BBC">
          <w:rPr>
            <w:rStyle w:val="Hyperkobling"/>
          </w:rPr>
          <w:t>, Tone Fløtten og Lars Holden (2018)</w:t>
        </w:r>
      </w:hyperlink>
    </w:p>
  </w:footnote>
  <w:footnote w:id="2">
    <w:p w14:paraId="6CADE9DC" w14:textId="77777777" w:rsidR="000775B4" w:rsidRDefault="000775B4" w:rsidP="000775B4">
      <w:pPr>
        <w:pStyle w:val="Fotnotetekst"/>
      </w:pPr>
      <w:r>
        <w:rPr>
          <w:rStyle w:val="Fotnotereferanse"/>
        </w:rPr>
        <w:footnoteRef/>
      </w:r>
      <w:r>
        <w:t xml:space="preserve"> </w:t>
      </w:r>
      <w:hyperlink r:id="rId2" w:history="1">
        <w:r w:rsidRPr="001A4055">
          <w:rPr>
            <w:rStyle w:val="Hyperkobling"/>
          </w:rPr>
          <w:t xml:space="preserve">Diskusjonsnotat: </w:t>
        </w:r>
        <w:r w:rsidRPr="001A4055">
          <w:rPr>
            <w:rStyle w:val="Hyperkobling"/>
            <w:i/>
            <w:iCs/>
          </w:rPr>
          <w:t>Forskningens frihet ved instituttene</w:t>
        </w:r>
        <w:r w:rsidRPr="001A4055">
          <w:rPr>
            <w:rStyle w:val="Hyperkobling"/>
          </w:rPr>
          <w:t>, FFA januar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672E3A6">
      <w:start w:val="1"/>
      <w:numFmt w:val="decimal"/>
      <w:lvlText w:val="%1."/>
      <w:lvlJc w:val="left"/>
      <w:pPr>
        <w:tabs>
          <w:tab w:val="num" w:pos="1209"/>
        </w:tabs>
        <w:ind w:left="1209" w:hanging="360"/>
      </w:pPr>
    </w:lvl>
    <w:lvl w:ilvl="1" w:tplc="1A520C9E">
      <w:numFmt w:val="decimal"/>
      <w:lvlText w:val=""/>
      <w:lvlJc w:val="left"/>
    </w:lvl>
    <w:lvl w:ilvl="2" w:tplc="517A3E28">
      <w:numFmt w:val="decimal"/>
      <w:lvlText w:val=""/>
      <w:lvlJc w:val="left"/>
    </w:lvl>
    <w:lvl w:ilvl="3" w:tplc="D65C064E">
      <w:numFmt w:val="decimal"/>
      <w:lvlText w:val=""/>
      <w:lvlJc w:val="left"/>
    </w:lvl>
    <w:lvl w:ilvl="4" w:tplc="2AEE5AEE">
      <w:numFmt w:val="decimal"/>
      <w:lvlText w:val=""/>
      <w:lvlJc w:val="left"/>
    </w:lvl>
    <w:lvl w:ilvl="5" w:tplc="C896CFF8">
      <w:numFmt w:val="decimal"/>
      <w:lvlText w:val=""/>
      <w:lvlJc w:val="left"/>
    </w:lvl>
    <w:lvl w:ilvl="6" w:tplc="09B4AD24">
      <w:numFmt w:val="decimal"/>
      <w:lvlText w:val=""/>
      <w:lvlJc w:val="left"/>
    </w:lvl>
    <w:lvl w:ilvl="7" w:tplc="DB04A054">
      <w:numFmt w:val="decimal"/>
      <w:lvlText w:val=""/>
      <w:lvlJc w:val="left"/>
    </w:lvl>
    <w:lvl w:ilvl="8" w:tplc="4B1E33E2">
      <w:numFmt w:val="decimal"/>
      <w:lvlText w:val=""/>
      <w:lvlJc w:val="left"/>
    </w:lvl>
  </w:abstractNum>
  <w:abstractNum w:abstractNumId="2" w15:restartNumberingAfterBreak="0">
    <w:nsid w:val="FFFFFF7E"/>
    <w:multiLevelType w:val="hybridMultilevel"/>
    <w:tmpl w:val="A8F6579E"/>
    <w:lvl w:ilvl="0" w:tplc="92288034">
      <w:start w:val="1"/>
      <w:numFmt w:val="decimal"/>
      <w:lvlText w:val="%1."/>
      <w:lvlJc w:val="left"/>
      <w:pPr>
        <w:tabs>
          <w:tab w:val="num" w:pos="926"/>
        </w:tabs>
        <w:ind w:left="926" w:hanging="360"/>
      </w:pPr>
    </w:lvl>
    <w:lvl w:ilvl="1" w:tplc="CF3269AC">
      <w:numFmt w:val="decimal"/>
      <w:lvlText w:val=""/>
      <w:lvlJc w:val="left"/>
    </w:lvl>
    <w:lvl w:ilvl="2" w:tplc="58868AC0">
      <w:numFmt w:val="decimal"/>
      <w:lvlText w:val=""/>
      <w:lvlJc w:val="left"/>
    </w:lvl>
    <w:lvl w:ilvl="3" w:tplc="5AD2ACE8">
      <w:numFmt w:val="decimal"/>
      <w:lvlText w:val=""/>
      <w:lvlJc w:val="left"/>
    </w:lvl>
    <w:lvl w:ilvl="4" w:tplc="C11CCAFA">
      <w:numFmt w:val="decimal"/>
      <w:lvlText w:val=""/>
      <w:lvlJc w:val="left"/>
    </w:lvl>
    <w:lvl w:ilvl="5" w:tplc="7A4AEB1A">
      <w:numFmt w:val="decimal"/>
      <w:lvlText w:val=""/>
      <w:lvlJc w:val="left"/>
    </w:lvl>
    <w:lvl w:ilvl="6" w:tplc="0464F442">
      <w:numFmt w:val="decimal"/>
      <w:lvlText w:val=""/>
      <w:lvlJc w:val="left"/>
    </w:lvl>
    <w:lvl w:ilvl="7" w:tplc="298E7BFC">
      <w:numFmt w:val="decimal"/>
      <w:lvlText w:val=""/>
      <w:lvlJc w:val="left"/>
    </w:lvl>
    <w:lvl w:ilvl="8" w:tplc="E1841F9C">
      <w:numFmt w:val="decimal"/>
      <w:lvlText w:val=""/>
      <w:lvlJc w:val="left"/>
    </w:lvl>
  </w:abstractNum>
  <w:abstractNum w:abstractNumId="3" w15:restartNumberingAfterBreak="0">
    <w:nsid w:val="FFFFFF7F"/>
    <w:multiLevelType w:val="hybridMultilevel"/>
    <w:tmpl w:val="41304D52"/>
    <w:lvl w:ilvl="0" w:tplc="52E8025E">
      <w:start w:val="1"/>
      <w:numFmt w:val="decimal"/>
      <w:lvlText w:val="%1."/>
      <w:lvlJc w:val="left"/>
      <w:pPr>
        <w:tabs>
          <w:tab w:val="num" w:pos="643"/>
        </w:tabs>
        <w:ind w:left="643" w:hanging="360"/>
      </w:pPr>
    </w:lvl>
    <w:lvl w:ilvl="1" w:tplc="15B047D2">
      <w:numFmt w:val="decimal"/>
      <w:lvlText w:val=""/>
      <w:lvlJc w:val="left"/>
    </w:lvl>
    <w:lvl w:ilvl="2" w:tplc="8FE85DA4">
      <w:numFmt w:val="decimal"/>
      <w:lvlText w:val=""/>
      <w:lvlJc w:val="left"/>
    </w:lvl>
    <w:lvl w:ilvl="3" w:tplc="B5B21B86">
      <w:numFmt w:val="decimal"/>
      <w:lvlText w:val=""/>
      <w:lvlJc w:val="left"/>
    </w:lvl>
    <w:lvl w:ilvl="4" w:tplc="3726164E">
      <w:numFmt w:val="decimal"/>
      <w:lvlText w:val=""/>
      <w:lvlJc w:val="left"/>
    </w:lvl>
    <w:lvl w:ilvl="5" w:tplc="0FCC667E">
      <w:numFmt w:val="decimal"/>
      <w:lvlText w:val=""/>
      <w:lvlJc w:val="left"/>
    </w:lvl>
    <w:lvl w:ilvl="6" w:tplc="850243BC">
      <w:numFmt w:val="decimal"/>
      <w:lvlText w:val=""/>
      <w:lvlJc w:val="left"/>
    </w:lvl>
    <w:lvl w:ilvl="7" w:tplc="CE86A58C">
      <w:numFmt w:val="decimal"/>
      <w:lvlText w:val=""/>
      <w:lvlJc w:val="left"/>
    </w:lvl>
    <w:lvl w:ilvl="8" w:tplc="67C2FEA0">
      <w:numFmt w:val="decimal"/>
      <w:lvlText w:val=""/>
      <w:lvlJc w:val="left"/>
    </w:lvl>
  </w:abstractNum>
  <w:abstractNum w:abstractNumId="4" w15:restartNumberingAfterBreak="0">
    <w:nsid w:val="FFFFFF80"/>
    <w:multiLevelType w:val="hybridMultilevel"/>
    <w:tmpl w:val="5E1E2782"/>
    <w:lvl w:ilvl="0" w:tplc="3DF66D9E">
      <w:start w:val="1"/>
      <w:numFmt w:val="bullet"/>
      <w:lvlText w:val=""/>
      <w:lvlJc w:val="left"/>
      <w:pPr>
        <w:tabs>
          <w:tab w:val="num" w:pos="1492"/>
        </w:tabs>
        <w:ind w:left="1492" w:hanging="360"/>
      </w:pPr>
      <w:rPr>
        <w:rFonts w:ascii="Symbol" w:hAnsi="Symbol" w:hint="default"/>
      </w:rPr>
    </w:lvl>
    <w:lvl w:ilvl="1" w:tplc="A9E65440">
      <w:numFmt w:val="decimal"/>
      <w:lvlText w:val=""/>
      <w:lvlJc w:val="left"/>
    </w:lvl>
    <w:lvl w:ilvl="2" w:tplc="77FA1124">
      <w:numFmt w:val="decimal"/>
      <w:lvlText w:val=""/>
      <w:lvlJc w:val="left"/>
    </w:lvl>
    <w:lvl w:ilvl="3" w:tplc="DA908A2E">
      <w:numFmt w:val="decimal"/>
      <w:lvlText w:val=""/>
      <w:lvlJc w:val="left"/>
    </w:lvl>
    <w:lvl w:ilvl="4" w:tplc="78C81B62">
      <w:numFmt w:val="decimal"/>
      <w:lvlText w:val=""/>
      <w:lvlJc w:val="left"/>
    </w:lvl>
    <w:lvl w:ilvl="5" w:tplc="C58298E6">
      <w:numFmt w:val="decimal"/>
      <w:lvlText w:val=""/>
      <w:lvlJc w:val="left"/>
    </w:lvl>
    <w:lvl w:ilvl="6" w:tplc="362A52F6">
      <w:numFmt w:val="decimal"/>
      <w:lvlText w:val=""/>
      <w:lvlJc w:val="left"/>
    </w:lvl>
    <w:lvl w:ilvl="7" w:tplc="1C66C7C6">
      <w:numFmt w:val="decimal"/>
      <w:lvlText w:val=""/>
      <w:lvlJc w:val="left"/>
    </w:lvl>
    <w:lvl w:ilvl="8" w:tplc="A5FE6CC2">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2C86442F"/>
    <w:multiLevelType w:val="hybridMultilevel"/>
    <w:tmpl w:val="AF6C505C"/>
    <w:lvl w:ilvl="0" w:tplc="653ACA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9"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0"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407115649">
    <w:abstractNumId w:val="22"/>
  </w:num>
  <w:num w:numId="2" w16cid:durableId="805589055">
    <w:abstractNumId w:val="16"/>
  </w:num>
  <w:num w:numId="3" w16cid:durableId="1590504345">
    <w:abstractNumId w:val="13"/>
  </w:num>
  <w:num w:numId="4" w16cid:durableId="2096975933">
    <w:abstractNumId w:val="25"/>
  </w:num>
  <w:num w:numId="5" w16cid:durableId="1680505184">
    <w:abstractNumId w:val="8"/>
  </w:num>
  <w:num w:numId="6" w16cid:durableId="240020586">
    <w:abstractNumId w:val="3"/>
  </w:num>
  <w:num w:numId="7" w16cid:durableId="529301164">
    <w:abstractNumId w:val="2"/>
  </w:num>
  <w:num w:numId="8" w16cid:durableId="2116174123">
    <w:abstractNumId w:val="1"/>
  </w:num>
  <w:num w:numId="9" w16cid:durableId="2120223037">
    <w:abstractNumId w:val="0"/>
  </w:num>
  <w:num w:numId="10" w16cid:durableId="1922642677">
    <w:abstractNumId w:val="9"/>
  </w:num>
  <w:num w:numId="11" w16cid:durableId="1948005191">
    <w:abstractNumId w:val="7"/>
  </w:num>
  <w:num w:numId="12" w16cid:durableId="1991862550">
    <w:abstractNumId w:val="6"/>
  </w:num>
  <w:num w:numId="13" w16cid:durableId="1886212931">
    <w:abstractNumId w:val="5"/>
  </w:num>
  <w:num w:numId="14" w16cid:durableId="1161963281">
    <w:abstractNumId w:val="4"/>
  </w:num>
  <w:num w:numId="15" w16cid:durableId="498892533">
    <w:abstractNumId w:val="27"/>
  </w:num>
  <w:num w:numId="16" w16cid:durableId="1303383502">
    <w:abstractNumId w:val="18"/>
  </w:num>
  <w:num w:numId="17" w16cid:durableId="2138404467">
    <w:abstractNumId w:val="11"/>
  </w:num>
  <w:num w:numId="18" w16cid:durableId="2071153055">
    <w:abstractNumId w:val="21"/>
  </w:num>
  <w:num w:numId="19" w16cid:durableId="65343083">
    <w:abstractNumId w:val="20"/>
  </w:num>
  <w:num w:numId="20" w16cid:durableId="361322932">
    <w:abstractNumId w:val="26"/>
  </w:num>
  <w:num w:numId="21" w16cid:durableId="1354964218">
    <w:abstractNumId w:val="19"/>
  </w:num>
  <w:num w:numId="22" w16cid:durableId="1106536170">
    <w:abstractNumId w:val="10"/>
  </w:num>
  <w:num w:numId="23" w16cid:durableId="20740801">
    <w:abstractNumId w:val="12"/>
  </w:num>
  <w:num w:numId="24" w16cid:durableId="1114786027">
    <w:abstractNumId w:val="14"/>
  </w:num>
  <w:num w:numId="25" w16cid:durableId="1444114402">
    <w:abstractNumId w:val="24"/>
  </w:num>
  <w:num w:numId="26" w16cid:durableId="1190610737">
    <w:abstractNumId w:val="15"/>
  </w:num>
  <w:num w:numId="27" w16cid:durableId="389772885">
    <w:abstractNumId w:val="23"/>
  </w:num>
  <w:num w:numId="28" w16cid:durableId="19542890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470F"/>
    <w:rsid w:val="000058DB"/>
    <w:rsid w:val="000155D2"/>
    <w:rsid w:val="000212AC"/>
    <w:rsid w:val="00033473"/>
    <w:rsid w:val="00052912"/>
    <w:rsid w:val="000606B2"/>
    <w:rsid w:val="000775B4"/>
    <w:rsid w:val="00081397"/>
    <w:rsid w:val="00091C09"/>
    <w:rsid w:val="00096085"/>
    <w:rsid w:val="000A0D28"/>
    <w:rsid w:val="000A4B4A"/>
    <w:rsid w:val="000C64F9"/>
    <w:rsid w:val="000D5765"/>
    <w:rsid w:val="000F1C16"/>
    <w:rsid w:val="00107266"/>
    <w:rsid w:val="00116808"/>
    <w:rsid w:val="001429C0"/>
    <w:rsid w:val="00171FD1"/>
    <w:rsid w:val="00175884"/>
    <w:rsid w:val="00176129"/>
    <w:rsid w:val="00192819"/>
    <w:rsid w:val="001A1978"/>
    <w:rsid w:val="00200F2B"/>
    <w:rsid w:val="00262E46"/>
    <w:rsid w:val="00284E8B"/>
    <w:rsid w:val="00293FA0"/>
    <w:rsid w:val="002956BE"/>
    <w:rsid w:val="002D0523"/>
    <w:rsid w:val="002F72BA"/>
    <w:rsid w:val="0032655B"/>
    <w:rsid w:val="00330695"/>
    <w:rsid w:val="00337E94"/>
    <w:rsid w:val="00343262"/>
    <w:rsid w:val="003546D8"/>
    <w:rsid w:val="00364017"/>
    <w:rsid w:val="003762DC"/>
    <w:rsid w:val="00382B75"/>
    <w:rsid w:val="003A2895"/>
    <w:rsid w:val="003A2EE8"/>
    <w:rsid w:val="003B262C"/>
    <w:rsid w:val="003C0112"/>
    <w:rsid w:val="003C04E3"/>
    <w:rsid w:val="003E3477"/>
    <w:rsid w:val="003F12AD"/>
    <w:rsid w:val="004040AB"/>
    <w:rsid w:val="004056E1"/>
    <w:rsid w:val="00411DFE"/>
    <w:rsid w:val="00430FD4"/>
    <w:rsid w:val="00432A73"/>
    <w:rsid w:val="00440B75"/>
    <w:rsid w:val="004451F0"/>
    <w:rsid w:val="0045730F"/>
    <w:rsid w:val="0046426A"/>
    <w:rsid w:val="00481921"/>
    <w:rsid w:val="00493B33"/>
    <w:rsid w:val="004B247E"/>
    <w:rsid w:val="004B4F9D"/>
    <w:rsid w:val="004C209C"/>
    <w:rsid w:val="004D2FD5"/>
    <w:rsid w:val="004E1120"/>
    <w:rsid w:val="00514054"/>
    <w:rsid w:val="00526FCF"/>
    <w:rsid w:val="00533477"/>
    <w:rsid w:val="00544A76"/>
    <w:rsid w:val="0055720C"/>
    <w:rsid w:val="0057182D"/>
    <w:rsid w:val="00585201"/>
    <w:rsid w:val="00592497"/>
    <w:rsid w:val="005975AB"/>
    <w:rsid w:val="00597B2B"/>
    <w:rsid w:val="005B2B4A"/>
    <w:rsid w:val="005C7D27"/>
    <w:rsid w:val="005F2009"/>
    <w:rsid w:val="00620CF7"/>
    <w:rsid w:val="006270D2"/>
    <w:rsid w:val="00636729"/>
    <w:rsid w:val="00646028"/>
    <w:rsid w:val="00662CEF"/>
    <w:rsid w:val="00663C70"/>
    <w:rsid w:val="006729FE"/>
    <w:rsid w:val="006770FA"/>
    <w:rsid w:val="00691512"/>
    <w:rsid w:val="00697BAC"/>
    <w:rsid w:val="006A6914"/>
    <w:rsid w:val="006C142E"/>
    <w:rsid w:val="006C3364"/>
    <w:rsid w:val="006E347A"/>
    <w:rsid w:val="006E4CFA"/>
    <w:rsid w:val="006F0AF5"/>
    <w:rsid w:val="006F312B"/>
    <w:rsid w:val="006F49B0"/>
    <w:rsid w:val="00702155"/>
    <w:rsid w:val="00720C62"/>
    <w:rsid w:val="007342BB"/>
    <w:rsid w:val="00734867"/>
    <w:rsid w:val="00742A02"/>
    <w:rsid w:val="00762B78"/>
    <w:rsid w:val="00786DAC"/>
    <w:rsid w:val="007A30FD"/>
    <w:rsid w:val="007A434E"/>
    <w:rsid w:val="007B5C8E"/>
    <w:rsid w:val="007C553D"/>
    <w:rsid w:val="007F3A3C"/>
    <w:rsid w:val="007F3FB0"/>
    <w:rsid w:val="007F5345"/>
    <w:rsid w:val="00806BDE"/>
    <w:rsid w:val="00820304"/>
    <w:rsid w:val="008217C5"/>
    <w:rsid w:val="0084088B"/>
    <w:rsid w:val="00846BB8"/>
    <w:rsid w:val="00865E56"/>
    <w:rsid w:val="00866D98"/>
    <w:rsid w:val="00874D10"/>
    <w:rsid w:val="0087530F"/>
    <w:rsid w:val="00876E64"/>
    <w:rsid w:val="00880DB4"/>
    <w:rsid w:val="00891E21"/>
    <w:rsid w:val="008A3B6E"/>
    <w:rsid w:val="008F0095"/>
    <w:rsid w:val="00941175"/>
    <w:rsid w:val="0095040A"/>
    <w:rsid w:val="009750FC"/>
    <w:rsid w:val="0098521C"/>
    <w:rsid w:val="00991667"/>
    <w:rsid w:val="009A2161"/>
    <w:rsid w:val="009A4485"/>
    <w:rsid w:val="009C4386"/>
    <w:rsid w:val="009F78A1"/>
    <w:rsid w:val="00A25B4A"/>
    <w:rsid w:val="00A2676B"/>
    <w:rsid w:val="00A42EB2"/>
    <w:rsid w:val="00A54406"/>
    <w:rsid w:val="00A75EAF"/>
    <w:rsid w:val="00AA471D"/>
    <w:rsid w:val="00AB3066"/>
    <w:rsid w:val="00AC06CF"/>
    <w:rsid w:val="00AC1704"/>
    <w:rsid w:val="00AC7834"/>
    <w:rsid w:val="00AD58F0"/>
    <w:rsid w:val="00AE5638"/>
    <w:rsid w:val="00AF5ABF"/>
    <w:rsid w:val="00AF686A"/>
    <w:rsid w:val="00AF7941"/>
    <w:rsid w:val="00B30547"/>
    <w:rsid w:val="00B330AB"/>
    <w:rsid w:val="00B338D6"/>
    <w:rsid w:val="00B5004D"/>
    <w:rsid w:val="00B50B90"/>
    <w:rsid w:val="00B57D39"/>
    <w:rsid w:val="00B63E13"/>
    <w:rsid w:val="00B72637"/>
    <w:rsid w:val="00B807F8"/>
    <w:rsid w:val="00B85050"/>
    <w:rsid w:val="00BA37D0"/>
    <w:rsid w:val="00BB2D4F"/>
    <w:rsid w:val="00BF3FD8"/>
    <w:rsid w:val="00C05D61"/>
    <w:rsid w:val="00C138AA"/>
    <w:rsid w:val="00C32DB3"/>
    <w:rsid w:val="00C36E5A"/>
    <w:rsid w:val="00C40331"/>
    <w:rsid w:val="00C71BD2"/>
    <w:rsid w:val="00C817A4"/>
    <w:rsid w:val="00CB07B3"/>
    <w:rsid w:val="00CB1ED3"/>
    <w:rsid w:val="00CD5088"/>
    <w:rsid w:val="00CE3775"/>
    <w:rsid w:val="00CF4019"/>
    <w:rsid w:val="00CF4DEB"/>
    <w:rsid w:val="00CF705C"/>
    <w:rsid w:val="00D13E3B"/>
    <w:rsid w:val="00D5765A"/>
    <w:rsid w:val="00D63FAC"/>
    <w:rsid w:val="00D932FD"/>
    <w:rsid w:val="00DA3E43"/>
    <w:rsid w:val="00DA684D"/>
    <w:rsid w:val="00DB2EFF"/>
    <w:rsid w:val="00DB33FD"/>
    <w:rsid w:val="00DC7ED7"/>
    <w:rsid w:val="00DD1434"/>
    <w:rsid w:val="00DD1B8F"/>
    <w:rsid w:val="00DE7F10"/>
    <w:rsid w:val="00E013CE"/>
    <w:rsid w:val="00E14893"/>
    <w:rsid w:val="00E21232"/>
    <w:rsid w:val="00E510BA"/>
    <w:rsid w:val="00E53C4D"/>
    <w:rsid w:val="00E72F4E"/>
    <w:rsid w:val="00E90653"/>
    <w:rsid w:val="00E907D5"/>
    <w:rsid w:val="00EA396D"/>
    <w:rsid w:val="00EB07F5"/>
    <w:rsid w:val="00EB3A4A"/>
    <w:rsid w:val="00EB70E0"/>
    <w:rsid w:val="00EB7C04"/>
    <w:rsid w:val="00EC3593"/>
    <w:rsid w:val="00EE4518"/>
    <w:rsid w:val="00EF764A"/>
    <w:rsid w:val="00F01A42"/>
    <w:rsid w:val="00F02D39"/>
    <w:rsid w:val="00F03C5E"/>
    <w:rsid w:val="00F04FB7"/>
    <w:rsid w:val="00F213E7"/>
    <w:rsid w:val="00F430EB"/>
    <w:rsid w:val="00F61341"/>
    <w:rsid w:val="00F66004"/>
    <w:rsid w:val="00F91254"/>
    <w:rsid w:val="00F9340B"/>
    <w:rsid w:val="00FA5BA7"/>
    <w:rsid w:val="00FA6F44"/>
    <w:rsid w:val="00FB611F"/>
    <w:rsid w:val="00FB786A"/>
    <w:rsid w:val="00FD4B79"/>
    <w:rsid w:val="00FE7E91"/>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uiPriority w:val="99"/>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styleId="Fulgthyperkobling">
    <w:name w:val="FollowedHyperlink"/>
    <w:basedOn w:val="Standardskriftforavsnitt"/>
    <w:uiPriority w:val="99"/>
    <w:semiHidden/>
    <w:unhideWhenUsed/>
    <w:rsid w:val="00533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akademiskfrihet/id290594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jeringen.no/contentassets/fd8d0dff9a594a81a5960bc4d15f9cac/instituttstrategi.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belia.no/siteassets/ffa/dokumenter/forskningens-frihet-i-instituttene---diskusjonsnotat-4-4-22.pdf" TargetMode="External"/><Relationship Id="rId1" Type="http://schemas.openxmlformats.org/officeDocument/2006/relationships/hyperlink" Target="https://www.forskningsetikk.no/aktuelt/forskningsetikk-for-oppdragsforskn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750</Words>
  <Characters>3980</Characters>
  <Application>Microsoft Office Word</Application>
  <DocSecurity>0</DocSecurity>
  <Lines>33</Lines>
  <Paragraphs>9</Paragraphs>
  <ScaleCrop>false</ScaleCrop>
  <Company>NINA</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19</cp:revision>
  <cp:lastPrinted>2015-04-22T07:47:00Z</cp:lastPrinted>
  <dcterms:created xsi:type="dcterms:W3CDTF">2022-06-22T09:57:00Z</dcterms:created>
  <dcterms:modified xsi:type="dcterms:W3CDTF">2022-06-23T09:57:00Z</dcterms:modified>
</cp:coreProperties>
</file>