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35219" w14:textId="33DFC534" w:rsidR="007C0F9D" w:rsidRPr="00AC55E7" w:rsidRDefault="00CC40C6" w:rsidP="007C0F9D">
      <w:pPr>
        <w:pStyle w:val="Overskrift2"/>
      </w:pPr>
      <w:r>
        <w:t xml:space="preserve">Høringssvar fra FFA til </w:t>
      </w:r>
      <w:r w:rsidR="00CC29E0" w:rsidRPr="00AC55E7">
        <w:t xml:space="preserve">Forskrift om tilgjengeliggjøring av helsedata </w:t>
      </w:r>
    </w:p>
    <w:p w14:paraId="211000F3" w14:textId="2CC345F4" w:rsidR="00BE51D2" w:rsidRDefault="0064464E" w:rsidP="00BE51D2">
      <w:pPr>
        <w:pStyle w:val="Overskrift3"/>
        <w:spacing w:before="0" w:line="264" w:lineRule="auto"/>
        <w:rPr>
          <w:rFonts w:ascii="Calibri" w:hAnsi="Calibri" w:cs="Calibri"/>
          <w:color w:val="auto"/>
        </w:rPr>
      </w:pPr>
      <w:hyperlink r:id="rId7" w:history="1">
        <w:r w:rsidR="00163B52" w:rsidRPr="00163B52">
          <w:rPr>
            <w:rStyle w:val="Hyperkobling"/>
            <w:rFonts w:ascii="Calibri" w:hAnsi="Calibri" w:cs="Calibri"/>
          </w:rPr>
          <w:t>Lenke høring HOD</w:t>
        </w:r>
      </w:hyperlink>
    </w:p>
    <w:p w14:paraId="67D3521F" w14:textId="1EBF042D" w:rsidR="007C0F9D" w:rsidRDefault="00CC40C6" w:rsidP="00BE51D2">
      <w:pPr>
        <w:pStyle w:val="Overskrift3"/>
        <w:spacing w:before="0" w:line="264" w:lineRule="auto"/>
        <w:rPr>
          <w:rFonts w:ascii="Calibri" w:hAnsi="Calibri" w:cs="Calibri"/>
          <w:color w:val="auto"/>
        </w:rPr>
      </w:pPr>
      <w:r>
        <w:rPr>
          <w:rFonts w:ascii="Calibri" w:hAnsi="Calibri" w:cs="Calibri"/>
          <w:color w:val="auto"/>
        </w:rPr>
        <w:t>30.11.2022</w:t>
      </w:r>
    </w:p>
    <w:p w14:paraId="50C405C0" w14:textId="77777777" w:rsidR="00BE51D2" w:rsidRPr="00BE51D2" w:rsidRDefault="00BE51D2" w:rsidP="00BE51D2">
      <w:pPr>
        <w:spacing w:after="0"/>
        <w:rPr>
          <w:lang w:eastAsia="nb-NO"/>
        </w:rPr>
      </w:pPr>
    </w:p>
    <w:p w14:paraId="0143ABD3" w14:textId="77777777" w:rsidR="00B63D26" w:rsidRPr="00CF6652" w:rsidRDefault="00B63D26" w:rsidP="00F9178E">
      <w:pPr>
        <w:pStyle w:val="Default"/>
        <w:rPr>
          <w:rFonts w:ascii="Calibri" w:hAnsi="Calibri" w:cs="Calibri"/>
          <w:sz w:val="22"/>
          <w:szCs w:val="22"/>
          <w:u w:val="single"/>
        </w:rPr>
      </w:pPr>
      <w:r w:rsidRPr="00CF6652">
        <w:rPr>
          <w:rFonts w:ascii="Calibri" w:hAnsi="Calibri" w:cs="Calibri"/>
          <w:sz w:val="22"/>
          <w:szCs w:val="22"/>
          <w:u w:val="single"/>
        </w:rPr>
        <w:t>Innledning</w:t>
      </w:r>
    </w:p>
    <w:p w14:paraId="59A340DE" w14:textId="032C0FD4" w:rsidR="00D619A7" w:rsidRDefault="0008286B" w:rsidP="00F9178E">
      <w:pPr>
        <w:pStyle w:val="Default"/>
        <w:rPr>
          <w:rFonts w:ascii="Calibri" w:hAnsi="Calibri" w:cs="Calibri"/>
          <w:sz w:val="22"/>
          <w:szCs w:val="22"/>
        </w:rPr>
      </w:pPr>
      <w:r>
        <w:rPr>
          <w:rFonts w:ascii="Calibri" w:hAnsi="Calibri" w:cs="Calibri"/>
          <w:sz w:val="22"/>
          <w:szCs w:val="22"/>
        </w:rPr>
        <w:t xml:space="preserve">FFA viser til våre tidligere uttalelser til Helsedatautvalget (2017), Helseregisterloven (2019) og </w:t>
      </w:r>
      <w:r w:rsidR="00587571">
        <w:rPr>
          <w:rFonts w:ascii="Calibri" w:hAnsi="Calibri" w:cs="Calibri"/>
          <w:sz w:val="22"/>
          <w:szCs w:val="22"/>
        </w:rPr>
        <w:t xml:space="preserve">forskrift om tilgjengeliggjøring av helsedata </w:t>
      </w:r>
      <w:r w:rsidR="00587571" w:rsidRPr="00587571">
        <w:rPr>
          <w:rFonts w:ascii="Calibri" w:hAnsi="Calibri" w:cs="Calibri"/>
          <w:sz w:val="22"/>
          <w:szCs w:val="22"/>
        </w:rPr>
        <w:t>(Helseanalyseplattformen og Helsedataservice)</w:t>
      </w:r>
      <w:r w:rsidR="00587571">
        <w:rPr>
          <w:rFonts w:ascii="Calibri" w:hAnsi="Calibri" w:cs="Calibri"/>
          <w:sz w:val="22"/>
          <w:szCs w:val="22"/>
        </w:rPr>
        <w:t xml:space="preserve"> (2021).</w:t>
      </w:r>
    </w:p>
    <w:p w14:paraId="67AA645C" w14:textId="77777777" w:rsidR="00AC3824" w:rsidRDefault="007A6033" w:rsidP="007A6033">
      <w:pPr>
        <w:pStyle w:val="Default"/>
        <w:rPr>
          <w:rFonts w:ascii="Calibri" w:hAnsi="Calibri" w:cs="Calibri"/>
          <w:sz w:val="22"/>
          <w:szCs w:val="22"/>
        </w:rPr>
      </w:pPr>
      <w:r>
        <w:rPr>
          <w:rFonts w:ascii="Calibri" w:hAnsi="Calibri" w:cs="Calibri"/>
          <w:sz w:val="22"/>
          <w:szCs w:val="22"/>
        </w:rPr>
        <w:t>Vi har tidligere uttrykt</w:t>
      </w:r>
      <w:r w:rsidR="00895825">
        <w:rPr>
          <w:rFonts w:ascii="Calibri" w:hAnsi="Calibri" w:cs="Calibri"/>
          <w:sz w:val="22"/>
          <w:szCs w:val="22"/>
        </w:rPr>
        <w:t xml:space="preserve"> at det er </w:t>
      </w:r>
      <w:r w:rsidRPr="007A6033">
        <w:rPr>
          <w:rFonts w:ascii="Calibri" w:hAnsi="Calibri" w:cs="Calibri"/>
          <w:sz w:val="22"/>
          <w:szCs w:val="22"/>
        </w:rPr>
        <w:t>positivt at en</w:t>
      </w:r>
      <w:r w:rsidR="00895825">
        <w:rPr>
          <w:rFonts w:ascii="Calibri" w:hAnsi="Calibri" w:cs="Calibri"/>
          <w:sz w:val="22"/>
          <w:szCs w:val="22"/>
        </w:rPr>
        <w:t xml:space="preserve"> etter hvert vil</w:t>
      </w:r>
      <w:r w:rsidRPr="007A6033">
        <w:rPr>
          <w:rFonts w:ascii="Calibri" w:hAnsi="Calibri" w:cs="Calibri"/>
          <w:sz w:val="22"/>
          <w:szCs w:val="22"/>
        </w:rPr>
        <w:t xml:space="preserve"> samle </w:t>
      </w:r>
      <w:r w:rsidR="00895825">
        <w:rPr>
          <w:rFonts w:ascii="Calibri" w:hAnsi="Calibri" w:cs="Calibri"/>
          <w:sz w:val="22"/>
          <w:szCs w:val="22"/>
        </w:rPr>
        <w:t xml:space="preserve">forvaltning </w:t>
      </w:r>
      <w:r w:rsidRPr="007A6033">
        <w:rPr>
          <w:rFonts w:ascii="Calibri" w:hAnsi="Calibri" w:cs="Calibri"/>
          <w:sz w:val="22"/>
          <w:szCs w:val="22"/>
        </w:rPr>
        <w:t xml:space="preserve">av helsedata på ett sted, i Direktoratet for e-helse og gjør helsedata tilgjengelig i Helsedataservice. </w:t>
      </w:r>
      <w:r w:rsidR="00AB586D">
        <w:rPr>
          <w:rFonts w:ascii="Calibri" w:hAnsi="Calibri" w:cs="Calibri"/>
          <w:sz w:val="22"/>
          <w:szCs w:val="22"/>
        </w:rPr>
        <w:t xml:space="preserve">Vi mener departementets </w:t>
      </w:r>
      <w:r w:rsidRPr="007A6033">
        <w:rPr>
          <w:rFonts w:ascii="Calibri" w:hAnsi="Calibri" w:cs="Calibri"/>
          <w:sz w:val="22"/>
          <w:szCs w:val="22"/>
        </w:rPr>
        <w:t xml:space="preserve">ambisjon om å etablere et "nasjonalt økosystem for helseanalyse der offentlige og private tjenesteleverandører og registerforvaltere kan samarbeide om utviklingen av analysetjenester og effektiv bruk av helsedata" er viktig og må ligge til grunn i </w:t>
      </w:r>
      <w:r w:rsidR="007018D6">
        <w:rPr>
          <w:rFonts w:ascii="Calibri" w:hAnsi="Calibri" w:cs="Calibri"/>
          <w:sz w:val="22"/>
          <w:szCs w:val="22"/>
        </w:rPr>
        <w:t>utvikling</w:t>
      </w:r>
      <w:r w:rsidRPr="007A6033">
        <w:rPr>
          <w:rFonts w:ascii="Calibri" w:hAnsi="Calibri" w:cs="Calibri"/>
          <w:sz w:val="22"/>
          <w:szCs w:val="22"/>
        </w:rPr>
        <w:t xml:space="preserve"> av løsningene. </w:t>
      </w:r>
    </w:p>
    <w:p w14:paraId="3A7A92FD" w14:textId="77777777" w:rsidR="00AC3824" w:rsidRDefault="00AC3824" w:rsidP="007A6033">
      <w:pPr>
        <w:pStyle w:val="Default"/>
        <w:rPr>
          <w:rFonts w:ascii="Calibri" w:hAnsi="Calibri" w:cs="Calibri"/>
          <w:sz w:val="22"/>
          <w:szCs w:val="22"/>
        </w:rPr>
      </w:pPr>
    </w:p>
    <w:p w14:paraId="589C3290" w14:textId="1DD529D5" w:rsidR="00AC3824" w:rsidRDefault="00AC3824" w:rsidP="007A6033">
      <w:pPr>
        <w:pStyle w:val="Default"/>
        <w:rPr>
          <w:rFonts w:ascii="Calibri" w:hAnsi="Calibri" w:cs="Calibri"/>
          <w:sz w:val="22"/>
          <w:szCs w:val="22"/>
        </w:rPr>
      </w:pPr>
      <w:r>
        <w:rPr>
          <w:rFonts w:ascii="Calibri" w:hAnsi="Calibri" w:cs="Calibri"/>
          <w:sz w:val="22"/>
          <w:szCs w:val="22"/>
        </w:rPr>
        <w:t xml:space="preserve">FFA </w:t>
      </w:r>
      <w:r w:rsidRPr="00AC3824">
        <w:rPr>
          <w:rFonts w:ascii="Calibri" w:hAnsi="Calibri" w:cs="Calibri"/>
          <w:sz w:val="22"/>
          <w:szCs w:val="22"/>
        </w:rPr>
        <w:t>ønsker mest mulig åpenhet</w:t>
      </w:r>
      <w:r w:rsidR="00C0053A">
        <w:rPr>
          <w:rFonts w:ascii="Calibri" w:hAnsi="Calibri" w:cs="Calibri"/>
          <w:sz w:val="22"/>
          <w:szCs w:val="22"/>
        </w:rPr>
        <w:t xml:space="preserve"> rundt data</w:t>
      </w:r>
      <w:r w:rsidRPr="00AC3824">
        <w:rPr>
          <w:rFonts w:ascii="Calibri" w:hAnsi="Calibri" w:cs="Calibri"/>
          <w:sz w:val="22"/>
          <w:szCs w:val="22"/>
        </w:rPr>
        <w:t xml:space="preserve">, </w:t>
      </w:r>
      <w:r w:rsidR="00B01E45">
        <w:rPr>
          <w:rFonts w:ascii="Calibri" w:hAnsi="Calibri" w:cs="Calibri"/>
          <w:sz w:val="22"/>
          <w:szCs w:val="22"/>
        </w:rPr>
        <w:t xml:space="preserve">god </w:t>
      </w:r>
      <w:r w:rsidRPr="00AC3824">
        <w:rPr>
          <w:rFonts w:ascii="Calibri" w:hAnsi="Calibri" w:cs="Calibri"/>
          <w:sz w:val="22"/>
          <w:szCs w:val="22"/>
        </w:rPr>
        <w:t>tilgjengelig</w:t>
      </w:r>
      <w:r w:rsidR="00B01E45">
        <w:rPr>
          <w:rFonts w:ascii="Calibri" w:hAnsi="Calibri" w:cs="Calibri"/>
          <w:sz w:val="22"/>
          <w:szCs w:val="22"/>
        </w:rPr>
        <w:t>het av data</w:t>
      </w:r>
      <w:r w:rsidRPr="00AC3824">
        <w:rPr>
          <w:rFonts w:ascii="Calibri" w:hAnsi="Calibri" w:cs="Calibri"/>
          <w:sz w:val="22"/>
          <w:szCs w:val="22"/>
        </w:rPr>
        <w:t xml:space="preserve"> for forskning og minst mulig byråkrati. </w:t>
      </w:r>
      <w:r w:rsidR="00B01E45">
        <w:rPr>
          <w:rFonts w:ascii="Calibri" w:hAnsi="Calibri" w:cs="Calibri"/>
          <w:sz w:val="22"/>
          <w:szCs w:val="22"/>
        </w:rPr>
        <w:t>Forskningsinstituttene vil</w:t>
      </w:r>
      <w:r w:rsidRPr="00AC3824">
        <w:rPr>
          <w:rFonts w:ascii="Calibri" w:hAnsi="Calibri" w:cs="Calibri"/>
          <w:sz w:val="22"/>
          <w:szCs w:val="22"/>
        </w:rPr>
        <w:t xml:space="preserve"> selvsagt også ivareta personvernet</w:t>
      </w:r>
      <w:r w:rsidR="00FE1DEA">
        <w:rPr>
          <w:rFonts w:ascii="Calibri" w:hAnsi="Calibri" w:cs="Calibri"/>
          <w:sz w:val="22"/>
          <w:szCs w:val="22"/>
        </w:rPr>
        <w:t xml:space="preserve"> og har god kompetanse og rutiner på å ivareta det.</w:t>
      </w:r>
      <w:r w:rsidR="002A46C9">
        <w:rPr>
          <w:rFonts w:ascii="Calibri" w:hAnsi="Calibri" w:cs="Calibri"/>
          <w:sz w:val="22"/>
          <w:szCs w:val="22"/>
        </w:rPr>
        <w:t xml:space="preserve"> Vi er bekymret for at unødig kompliserte og byråkratiske løsninger knyttet til håndtering av </w:t>
      </w:r>
      <w:r w:rsidR="00794DBD">
        <w:rPr>
          <w:rFonts w:ascii="Calibri" w:hAnsi="Calibri" w:cs="Calibri"/>
          <w:sz w:val="22"/>
          <w:szCs w:val="22"/>
        </w:rPr>
        <w:t>helsedata for forskning medfører</w:t>
      </w:r>
      <w:r w:rsidR="00701108">
        <w:rPr>
          <w:rFonts w:ascii="Calibri" w:hAnsi="Calibri" w:cs="Calibri"/>
          <w:sz w:val="22"/>
          <w:szCs w:val="22"/>
        </w:rPr>
        <w:t xml:space="preserve"> unødvendig store kostnader.</w:t>
      </w:r>
    </w:p>
    <w:p w14:paraId="1CA08404" w14:textId="77777777" w:rsidR="00FE1DEA" w:rsidRDefault="00FE1DEA" w:rsidP="007A6033">
      <w:pPr>
        <w:pStyle w:val="Default"/>
        <w:rPr>
          <w:rFonts w:ascii="Calibri" w:hAnsi="Calibri" w:cs="Calibri"/>
          <w:sz w:val="22"/>
          <w:szCs w:val="22"/>
        </w:rPr>
      </w:pPr>
    </w:p>
    <w:p w14:paraId="3BEBB5FF" w14:textId="11CC4E18" w:rsidR="007018D6" w:rsidRDefault="00366547" w:rsidP="007A6033">
      <w:pPr>
        <w:pStyle w:val="Default"/>
        <w:rPr>
          <w:rFonts w:ascii="Calibri" w:hAnsi="Calibri" w:cs="Calibri"/>
          <w:sz w:val="22"/>
          <w:szCs w:val="22"/>
        </w:rPr>
      </w:pPr>
      <w:r>
        <w:rPr>
          <w:rFonts w:ascii="Calibri" w:hAnsi="Calibri" w:cs="Calibri"/>
          <w:sz w:val="22"/>
          <w:szCs w:val="22"/>
        </w:rPr>
        <w:t xml:space="preserve">Vi har tidligere </w:t>
      </w:r>
      <w:r w:rsidRPr="00366547">
        <w:rPr>
          <w:rFonts w:ascii="Calibri" w:hAnsi="Calibri" w:cs="Calibri"/>
          <w:sz w:val="22"/>
          <w:szCs w:val="22"/>
        </w:rPr>
        <w:t>uttrykt bekymring for at</w:t>
      </w:r>
      <w:r>
        <w:rPr>
          <w:rFonts w:ascii="Calibri" w:hAnsi="Calibri" w:cs="Calibri"/>
          <w:sz w:val="22"/>
          <w:szCs w:val="22"/>
        </w:rPr>
        <w:t xml:space="preserve"> </w:t>
      </w:r>
      <w:r w:rsidR="00C74739" w:rsidRPr="00C74739">
        <w:rPr>
          <w:rFonts w:ascii="Calibri" w:hAnsi="Calibri" w:cs="Calibri"/>
          <w:sz w:val="22"/>
          <w:szCs w:val="22"/>
        </w:rPr>
        <w:t xml:space="preserve">en svært avansert løsning </w:t>
      </w:r>
      <w:r w:rsidR="00C74739">
        <w:rPr>
          <w:rFonts w:ascii="Calibri" w:hAnsi="Calibri" w:cs="Calibri"/>
          <w:sz w:val="22"/>
          <w:szCs w:val="22"/>
        </w:rPr>
        <w:t xml:space="preserve">for Helseanalyseplattformen som ble planlagt, ville ta </w:t>
      </w:r>
      <w:r w:rsidR="00C74739" w:rsidRPr="00C74739">
        <w:rPr>
          <w:rFonts w:ascii="Calibri" w:hAnsi="Calibri" w:cs="Calibri"/>
          <w:sz w:val="22"/>
          <w:szCs w:val="22"/>
        </w:rPr>
        <w:t>lang tid å på plass</w:t>
      </w:r>
      <w:r w:rsidR="003B68A6">
        <w:rPr>
          <w:rFonts w:ascii="Calibri" w:hAnsi="Calibri" w:cs="Calibri"/>
          <w:sz w:val="22"/>
          <w:szCs w:val="22"/>
        </w:rPr>
        <w:t>. Den trinnvise utviklingen som nå planlegges</w:t>
      </w:r>
      <w:r w:rsidR="004A75DA">
        <w:rPr>
          <w:rFonts w:ascii="Calibri" w:hAnsi="Calibri" w:cs="Calibri"/>
          <w:sz w:val="22"/>
          <w:szCs w:val="22"/>
        </w:rPr>
        <w:t xml:space="preserve"> både </w:t>
      </w:r>
      <w:proofErr w:type="spellStart"/>
      <w:r w:rsidR="004A75DA">
        <w:rPr>
          <w:rFonts w:ascii="Calibri" w:hAnsi="Calibri" w:cs="Calibri"/>
          <w:sz w:val="22"/>
          <w:szCs w:val="22"/>
        </w:rPr>
        <w:t>mht</w:t>
      </w:r>
      <w:proofErr w:type="spellEnd"/>
      <w:r w:rsidR="004A75DA">
        <w:rPr>
          <w:rFonts w:ascii="Calibri" w:hAnsi="Calibri" w:cs="Calibri"/>
          <w:sz w:val="22"/>
          <w:szCs w:val="22"/>
        </w:rPr>
        <w:t xml:space="preserve"> hvilke registre som inkluderes</w:t>
      </w:r>
      <w:r w:rsidR="00BC5BE9">
        <w:rPr>
          <w:rFonts w:ascii="Calibri" w:hAnsi="Calibri" w:cs="Calibri"/>
          <w:sz w:val="22"/>
          <w:szCs w:val="22"/>
        </w:rPr>
        <w:t xml:space="preserve"> og ved å bruke</w:t>
      </w:r>
      <w:r w:rsidR="004A75DA">
        <w:rPr>
          <w:rFonts w:ascii="Calibri" w:hAnsi="Calibri" w:cs="Calibri"/>
          <w:sz w:val="22"/>
          <w:szCs w:val="22"/>
        </w:rPr>
        <w:t xml:space="preserve"> eksisterende </w:t>
      </w:r>
      <w:r w:rsidR="009C0E17">
        <w:rPr>
          <w:rFonts w:ascii="Calibri" w:hAnsi="Calibri" w:cs="Calibri"/>
          <w:sz w:val="22"/>
          <w:szCs w:val="22"/>
        </w:rPr>
        <w:t xml:space="preserve">organisasjon </w:t>
      </w:r>
      <w:r w:rsidR="00EB005C">
        <w:rPr>
          <w:rFonts w:ascii="Calibri" w:hAnsi="Calibri" w:cs="Calibri"/>
          <w:sz w:val="22"/>
          <w:szCs w:val="22"/>
        </w:rPr>
        <w:t xml:space="preserve">i </w:t>
      </w:r>
      <w:proofErr w:type="spellStart"/>
      <w:r w:rsidR="00EB005C">
        <w:rPr>
          <w:rFonts w:ascii="Calibri" w:hAnsi="Calibri" w:cs="Calibri"/>
          <w:sz w:val="22"/>
          <w:szCs w:val="22"/>
        </w:rPr>
        <w:t>ehelse</w:t>
      </w:r>
      <w:proofErr w:type="spellEnd"/>
      <w:r w:rsidR="00EB005C">
        <w:rPr>
          <w:rFonts w:ascii="Calibri" w:hAnsi="Calibri" w:cs="Calibri"/>
          <w:sz w:val="22"/>
          <w:szCs w:val="22"/>
        </w:rPr>
        <w:t>-direktoratet og</w:t>
      </w:r>
      <w:r w:rsidR="000A7D1C">
        <w:rPr>
          <w:rFonts w:ascii="Calibri" w:hAnsi="Calibri" w:cs="Calibri"/>
          <w:sz w:val="22"/>
          <w:szCs w:val="22"/>
        </w:rPr>
        <w:t xml:space="preserve"> eksisterende løsninger for dataplattform og analysetjenester, </w:t>
      </w:r>
      <w:r w:rsidR="002A31EF">
        <w:rPr>
          <w:rFonts w:ascii="Calibri" w:hAnsi="Calibri" w:cs="Calibri"/>
          <w:sz w:val="22"/>
          <w:szCs w:val="22"/>
        </w:rPr>
        <w:t>synes å være en riktig strategi.</w:t>
      </w:r>
      <w:r w:rsidR="00BC5BE9">
        <w:rPr>
          <w:rFonts w:ascii="Calibri" w:hAnsi="Calibri" w:cs="Calibri"/>
          <w:sz w:val="22"/>
          <w:szCs w:val="22"/>
        </w:rPr>
        <w:t xml:space="preserve"> </w:t>
      </w:r>
    </w:p>
    <w:p w14:paraId="52B7D1EA" w14:textId="77777777" w:rsidR="007018D6" w:rsidRDefault="007018D6" w:rsidP="007A6033">
      <w:pPr>
        <w:pStyle w:val="Default"/>
        <w:rPr>
          <w:rFonts w:ascii="Calibri" w:hAnsi="Calibri" w:cs="Calibri"/>
          <w:sz w:val="22"/>
          <w:szCs w:val="22"/>
        </w:rPr>
      </w:pPr>
    </w:p>
    <w:p w14:paraId="13EF7ED0" w14:textId="6525C274" w:rsidR="000F15C2" w:rsidRDefault="007A6033" w:rsidP="007A6033">
      <w:pPr>
        <w:pStyle w:val="Default"/>
        <w:rPr>
          <w:rFonts w:ascii="Calibri" w:hAnsi="Calibri" w:cs="Calibri"/>
          <w:sz w:val="22"/>
          <w:szCs w:val="22"/>
        </w:rPr>
      </w:pPr>
      <w:r w:rsidRPr="007A6033">
        <w:rPr>
          <w:rFonts w:ascii="Calibri" w:hAnsi="Calibri" w:cs="Calibri"/>
          <w:sz w:val="22"/>
          <w:szCs w:val="22"/>
        </w:rPr>
        <w:t>Det innebærer etter vårt syn at løsningene som legges til Helse</w:t>
      </w:r>
      <w:r w:rsidR="002A31EF">
        <w:rPr>
          <w:rFonts w:ascii="Calibri" w:hAnsi="Calibri" w:cs="Calibri"/>
          <w:sz w:val="22"/>
          <w:szCs w:val="22"/>
        </w:rPr>
        <w:t>analyse</w:t>
      </w:r>
      <w:r w:rsidR="009E6E07">
        <w:rPr>
          <w:rFonts w:ascii="Calibri" w:hAnsi="Calibri" w:cs="Calibri"/>
          <w:sz w:val="22"/>
          <w:szCs w:val="22"/>
        </w:rPr>
        <w:t>p</w:t>
      </w:r>
      <w:r w:rsidRPr="007A6033">
        <w:rPr>
          <w:rFonts w:ascii="Calibri" w:hAnsi="Calibri" w:cs="Calibri"/>
          <w:sz w:val="22"/>
          <w:szCs w:val="22"/>
        </w:rPr>
        <w:t xml:space="preserve">lattformen må </w:t>
      </w:r>
      <w:r w:rsidR="009E6E07">
        <w:rPr>
          <w:rFonts w:ascii="Calibri" w:hAnsi="Calibri" w:cs="Calibri"/>
          <w:sz w:val="22"/>
          <w:szCs w:val="22"/>
        </w:rPr>
        <w:t xml:space="preserve">inkludere eller </w:t>
      </w:r>
      <w:r w:rsidRPr="007A6033">
        <w:rPr>
          <w:rFonts w:ascii="Calibri" w:hAnsi="Calibri" w:cs="Calibri"/>
          <w:sz w:val="22"/>
          <w:szCs w:val="22"/>
        </w:rPr>
        <w:t>være i et samspill med andre løsninger hvor behov, kompetanse og innovasjon møtes. Løsningen må ikke bli</w:t>
      </w:r>
      <w:r w:rsidR="009E6E07">
        <w:rPr>
          <w:rFonts w:ascii="Calibri" w:hAnsi="Calibri" w:cs="Calibri"/>
          <w:sz w:val="22"/>
          <w:szCs w:val="22"/>
        </w:rPr>
        <w:t xml:space="preserve"> </w:t>
      </w:r>
      <w:r w:rsidRPr="007A6033">
        <w:rPr>
          <w:rFonts w:ascii="Calibri" w:hAnsi="Calibri" w:cs="Calibri"/>
          <w:sz w:val="22"/>
          <w:szCs w:val="22"/>
        </w:rPr>
        <w:t xml:space="preserve">et hinder for mangfold av analyseverktøy og sammenstilling av data fra flere kilder enn de som </w:t>
      </w:r>
      <w:r w:rsidR="00CE799B">
        <w:rPr>
          <w:rFonts w:ascii="Calibri" w:hAnsi="Calibri" w:cs="Calibri"/>
          <w:sz w:val="22"/>
          <w:szCs w:val="22"/>
        </w:rPr>
        <w:t xml:space="preserve">skal inngå </w:t>
      </w:r>
      <w:r w:rsidRPr="007A6033">
        <w:rPr>
          <w:rFonts w:ascii="Calibri" w:hAnsi="Calibri" w:cs="Calibri"/>
          <w:sz w:val="22"/>
          <w:szCs w:val="22"/>
        </w:rPr>
        <w:t xml:space="preserve">i </w:t>
      </w:r>
      <w:r w:rsidR="00CE799B">
        <w:rPr>
          <w:rFonts w:ascii="Calibri" w:hAnsi="Calibri" w:cs="Calibri"/>
          <w:sz w:val="22"/>
          <w:szCs w:val="22"/>
        </w:rPr>
        <w:t>Helseanalyseplattformen.</w:t>
      </w:r>
    </w:p>
    <w:p w14:paraId="6E45CD1D" w14:textId="77777777" w:rsidR="00086EF1" w:rsidRDefault="00086EF1" w:rsidP="00F9178E">
      <w:pPr>
        <w:pStyle w:val="Default"/>
        <w:rPr>
          <w:rFonts w:ascii="Calibri" w:hAnsi="Calibri" w:cs="Calibri"/>
          <w:sz w:val="22"/>
          <w:szCs w:val="22"/>
        </w:rPr>
      </w:pPr>
    </w:p>
    <w:p w14:paraId="3BD1AA9F" w14:textId="7A78D656" w:rsidR="000B4D33" w:rsidRDefault="00587571" w:rsidP="000B4D33">
      <w:pPr>
        <w:spacing w:after="0" w:line="264" w:lineRule="auto"/>
        <w:rPr>
          <w:lang w:eastAsia="nb-NO"/>
        </w:rPr>
      </w:pPr>
      <w:r>
        <w:rPr>
          <w:lang w:eastAsia="nb-NO"/>
        </w:rPr>
        <w:t>Selv med endringene som er gjort etter at Hels</w:t>
      </w:r>
      <w:r w:rsidR="00A8529C">
        <w:rPr>
          <w:lang w:eastAsia="nb-NO"/>
        </w:rPr>
        <w:t xml:space="preserve">edataplattformen ble satt på vent, er </w:t>
      </w:r>
      <w:r w:rsidR="00F570F4">
        <w:rPr>
          <w:lang w:eastAsia="nb-NO"/>
        </w:rPr>
        <w:t>a</w:t>
      </w:r>
      <w:r w:rsidR="000B4D33">
        <w:rPr>
          <w:lang w:eastAsia="nb-NO"/>
        </w:rPr>
        <w:t>mbisjonene for</w:t>
      </w:r>
      <w:r w:rsidR="00F570F4">
        <w:rPr>
          <w:lang w:eastAsia="nb-NO"/>
        </w:rPr>
        <w:t>,</w:t>
      </w:r>
      <w:r w:rsidR="000B4D33">
        <w:rPr>
          <w:lang w:eastAsia="nb-NO"/>
        </w:rPr>
        <w:t xml:space="preserve"> og oppgavene som legges til</w:t>
      </w:r>
      <w:r w:rsidR="00F570F4">
        <w:rPr>
          <w:lang w:eastAsia="nb-NO"/>
        </w:rPr>
        <w:t>,</w:t>
      </w:r>
      <w:r w:rsidR="000B4D33">
        <w:rPr>
          <w:lang w:eastAsia="nb-NO"/>
        </w:rPr>
        <w:t xml:space="preserve"> Helsedataservice er store. Det krever god kompetanse og tilstrekkelig kapasitet til å håndtere søknader raskt og </w:t>
      </w:r>
      <w:r w:rsidR="00F570F4">
        <w:rPr>
          <w:lang w:eastAsia="nb-NO"/>
        </w:rPr>
        <w:t>med høy kvalitet</w:t>
      </w:r>
      <w:r w:rsidR="000B4D33">
        <w:rPr>
          <w:lang w:eastAsia="nb-NO"/>
        </w:rPr>
        <w:t>. Som vi</w:t>
      </w:r>
      <w:r w:rsidR="00C203EE">
        <w:rPr>
          <w:lang w:eastAsia="nb-NO"/>
        </w:rPr>
        <w:t xml:space="preserve"> har påpekt i tidligere høringssvar, </w:t>
      </w:r>
      <w:r w:rsidR="000B4D33">
        <w:rPr>
          <w:lang w:eastAsia="nb-NO"/>
        </w:rPr>
        <w:t>er det viktig at ikke flere instanser skal vurdere samme søknad. Departementets forslag møter så langt vi kan se dette hensynet, bl.a. ved at Helsedataservice skal koordinere også REK-søknader. Det er viktig for å unngå forsinkelser i forskningen.</w:t>
      </w:r>
    </w:p>
    <w:p w14:paraId="2AB0ED76" w14:textId="77777777" w:rsidR="00C203EE" w:rsidRDefault="00C203EE" w:rsidP="000B4D33">
      <w:pPr>
        <w:spacing w:after="0" w:line="264" w:lineRule="auto"/>
        <w:rPr>
          <w:lang w:eastAsia="nb-NO"/>
        </w:rPr>
      </w:pPr>
    </w:p>
    <w:p w14:paraId="758B72E5" w14:textId="634A0BBB" w:rsidR="000B4D33" w:rsidRDefault="000B4D33" w:rsidP="000B4D33">
      <w:pPr>
        <w:spacing w:after="0" w:line="264" w:lineRule="auto"/>
        <w:rPr>
          <w:lang w:eastAsia="nb-NO"/>
        </w:rPr>
      </w:pPr>
      <w:r>
        <w:rPr>
          <w:lang w:eastAsia="nb-NO"/>
        </w:rPr>
        <w:t>Vi imøteser også andre effektiviseringsgevinster, som løsning for digital håndtering av samtykke og reservasjoner i helsenorge.no.</w:t>
      </w:r>
    </w:p>
    <w:p w14:paraId="1AA6579F" w14:textId="77777777" w:rsidR="00924CDA" w:rsidRDefault="00924CDA" w:rsidP="000B4D33">
      <w:pPr>
        <w:spacing w:after="0" w:line="264" w:lineRule="auto"/>
        <w:rPr>
          <w:lang w:eastAsia="nb-NO"/>
        </w:rPr>
      </w:pPr>
    </w:p>
    <w:p w14:paraId="15456C6D" w14:textId="77777777" w:rsidR="00924CDA" w:rsidRPr="00924CDA" w:rsidRDefault="00086EF1" w:rsidP="00086EF1">
      <w:pPr>
        <w:spacing w:after="0" w:line="264" w:lineRule="auto"/>
        <w:rPr>
          <w:u w:val="single"/>
          <w:lang w:eastAsia="nb-NO"/>
        </w:rPr>
      </w:pPr>
      <w:r w:rsidRPr="00924CDA">
        <w:rPr>
          <w:u w:val="single"/>
          <w:lang w:eastAsia="nb-NO"/>
        </w:rPr>
        <w:t xml:space="preserve"> § 3 første ledd bokstav n) om inkludering av beredskapsregistre (høringsnotatet punkt 5.4.2) </w:t>
      </w:r>
    </w:p>
    <w:p w14:paraId="39BEF494" w14:textId="77777777" w:rsidR="007C511D" w:rsidRDefault="009041FF" w:rsidP="00086EF1">
      <w:pPr>
        <w:spacing w:after="0" w:line="264" w:lineRule="auto"/>
        <w:rPr>
          <w:lang w:eastAsia="nb-NO"/>
        </w:rPr>
      </w:pPr>
      <w:r>
        <w:rPr>
          <w:lang w:eastAsia="nb-NO"/>
        </w:rPr>
        <w:t xml:space="preserve">Forslaget </w:t>
      </w:r>
      <w:r w:rsidR="002E0A5E">
        <w:rPr>
          <w:lang w:eastAsia="nb-NO"/>
        </w:rPr>
        <w:t>følger opp</w:t>
      </w:r>
      <w:r w:rsidR="00086EF1">
        <w:rPr>
          <w:lang w:eastAsia="nb-NO"/>
        </w:rPr>
        <w:t xml:space="preserve"> Rege-utvalgets anbefaling</w:t>
      </w:r>
      <w:r w:rsidR="002E0A5E">
        <w:rPr>
          <w:lang w:eastAsia="nb-NO"/>
        </w:rPr>
        <w:t xml:space="preserve"> </w:t>
      </w:r>
      <w:r w:rsidR="004D6B25">
        <w:rPr>
          <w:lang w:eastAsia="nb-NO"/>
        </w:rPr>
        <w:t xml:space="preserve">om at beredskapsregistre </w:t>
      </w:r>
      <w:r w:rsidR="000109E9">
        <w:rPr>
          <w:lang w:eastAsia="nb-NO"/>
        </w:rPr>
        <w:t xml:space="preserve">må kunne gjøres tilgjengelige for flere og på en enkel måte, for eksempel gjennom Helsedataservice. </w:t>
      </w:r>
    </w:p>
    <w:p w14:paraId="06C28D71" w14:textId="77777777" w:rsidR="007C511D" w:rsidRDefault="007C511D" w:rsidP="00086EF1">
      <w:pPr>
        <w:spacing w:after="0" w:line="264" w:lineRule="auto"/>
        <w:rPr>
          <w:lang w:eastAsia="nb-NO"/>
        </w:rPr>
      </w:pPr>
    </w:p>
    <w:p w14:paraId="7CE7BECF" w14:textId="75B95ECC" w:rsidR="00A65666" w:rsidRDefault="007C511D" w:rsidP="00086EF1">
      <w:pPr>
        <w:spacing w:after="0" w:line="264" w:lineRule="auto"/>
        <w:rPr>
          <w:lang w:eastAsia="nb-NO"/>
        </w:rPr>
      </w:pPr>
      <w:r>
        <w:rPr>
          <w:lang w:eastAsia="nb-NO"/>
        </w:rPr>
        <w:t xml:space="preserve">FFA støtter at beredskapsregistre inkluderes </w:t>
      </w:r>
      <w:r w:rsidR="00E36AF2">
        <w:rPr>
          <w:lang w:eastAsia="nb-NO"/>
        </w:rPr>
        <w:t xml:space="preserve">og tilgjengeliggjøres i Helsedataservice, slik at </w:t>
      </w:r>
      <w:r w:rsidR="000B4011">
        <w:rPr>
          <w:lang w:eastAsia="nb-NO"/>
        </w:rPr>
        <w:t>data fra beredskapsregistre kan kobles til andre helse- og bakgrunnsdata og kan tilgjenge</w:t>
      </w:r>
      <w:r w:rsidR="005127D0">
        <w:rPr>
          <w:lang w:eastAsia="nb-NO"/>
        </w:rPr>
        <w:t xml:space="preserve">liggjøres for andre enn registereier. Det kan være avgjørende i en krise- og beredskapssituasjon, </w:t>
      </w:r>
      <w:r w:rsidR="00A91698">
        <w:rPr>
          <w:lang w:eastAsia="nb-NO"/>
        </w:rPr>
        <w:t xml:space="preserve">men også i normalsituasjon. Rege-utvalgets </w:t>
      </w:r>
      <w:r w:rsidR="00ED759B">
        <w:rPr>
          <w:lang w:eastAsia="nb-NO"/>
        </w:rPr>
        <w:t>påpeker</w:t>
      </w:r>
      <w:r w:rsidR="00A91698">
        <w:rPr>
          <w:lang w:eastAsia="nb-NO"/>
        </w:rPr>
        <w:t xml:space="preserve"> at tilrettelegging i normalsituasjon er avgjørende for at det fungerer også i en krise- og beredskapssituasjon</w:t>
      </w:r>
      <w:r w:rsidR="00EA44D2">
        <w:rPr>
          <w:lang w:eastAsia="nb-NO"/>
        </w:rPr>
        <w:t xml:space="preserve">. Vi støtter Rege-utvalgets og </w:t>
      </w:r>
      <w:r w:rsidR="00DC09C2">
        <w:rPr>
          <w:lang w:eastAsia="nb-NO"/>
        </w:rPr>
        <w:t>Markussen-utvalgets anbefalinger og men</w:t>
      </w:r>
      <w:r w:rsidR="006157A8">
        <w:rPr>
          <w:lang w:eastAsia="nb-NO"/>
        </w:rPr>
        <w:t xml:space="preserve">er at de må </w:t>
      </w:r>
      <w:r w:rsidR="00162314">
        <w:rPr>
          <w:lang w:eastAsia="nb-NO"/>
        </w:rPr>
        <w:t xml:space="preserve">vektlegges </w:t>
      </w:r>
      <w:r w:rsidR="006157A8">
        <w:rPr>
          <w:lang w:eastAsia="nb-NO"/>
        </w:rPr>
        <w:t xml:space="preserve">her og i </w:t>
      </w:r>
      <w:r w:rsidR="00162314">
        <w:rPr>
          <w:lang w:eastAsia="nb-NO"/>
        </w:rPr>
        <w:t xml:space="preserve">langt bredere sammenhenger. </w:t>
      </w:r>
    </w:p>
    <w:p w14:paraId="6B6EBE7B" w14:textId="77777777" w:rsidR="00A65666" w:rsidRDefault="00A65666" w:rsidP="00086EF1">
      <w:pPr>
        <w:spacing w:after="0" w:line="264" w:lineRule="auto"/>
        <w:rPr>
          <w:lang w:eastAsia="nb-NO"/>
        </w:rPr>
      </w:pPr>
    </w:p>
    <w:p w14:paraId="6E416335" w14:textId="15832C65" w:rsidR="009E34DE" w:rsidRPr="009E34DE" w:rsidRDefault="00162314" w:rsidP="003C0333">
      <w:pPr>
        <w:spacing w:after="0" w:line="264" w:lineRule="auto"/>
        <w:rPr>
          <w:lang w:eastAsia="nb-NO"/>
        </w:rPr>
      </w:pPr>
      <w:r>
        <w:rPr>
          <w:lang w:eastAsia="nb-NO"/>
        </w:rPr>
        <w:t xml:space="preserve">Derfor er </w:t>
      </w:r>
      <w:r w:rsidR="00A65666">
        <w:rPr>
          <w:lang w:eastAsia="nb-NO"/>
        </w:rPr>
        <w:t>det også viktig at det foreslås at d</w:t>
      </w:r>
      <w:r w:rsidR="00086EF1">
        <w:rPr>
          <w:lang w:eastAsia="nb-NO"/>
        </w:rPr>
        <w:t>epartementet kan bestemme at registeret skal videreføres også etter at hendelsen er avklart.</w:t>
      </w:r>
      <w:r w:rsidR="003C0333">
        <w:rPr>
          <w:lang w:eastAsia="nb-NO"/>
        </w:rPr>
        <w:t xml:space="preserve"> FFA støtter at registeret kan videreføres når </w:t>
      </w:r>
      <w:r w:rsidR="00086EF1">
        <w:rPr>
          <w:lang w:eastAsia="nb-NO"/>
        </w:rPr>
        <w:t xml:space="preserve">det er nødvendig for å gi kunnskap om langtidseffekter og samfunnets interesse i den videre behandlingen klart overstiger ulempene som kan påføres den enkelte. Behovet for forskning for å kunne lære av krisen </w:t>
      </w:r>
      <w:r w:rsidR="003C0333">
        <w:rPr>
          <w:lang w:eastAsia="nb-NO"/>
        </w:rPr>
        <w:t>og være godt forberedt for kommende kriser, må vektlegges tungt</w:t>
      </w:r>
      <w:r w:rsidR="00086EF1">
        <w:rPr>
          <w:lang w:eastAsia="nb-NO"/>
        </w:rPr>
        <w:t xml:space="preserve">. </w:t>
      </w:r>
    </w:p>
    <w:p w14:paraId="7FC625CB" w14:textId="77777777" w:rsidR="00CC29E0" w:rsidRPr="00CC29E0" w:rsidRDefault="00CC29E0" w:rsidP="00CC29E0">
      <w:pPr>
        <w:spacing w:after="0" w:line="264" w:lineRule="auto"/>
        <w:rPr>
          <w:lang w:eastAsia="nb-NO"/>
        </w:rPr>
      </w:pPr>
    </w:p>
    <w:p w14:paraId="7BFFF6A7" w14:textId="77777777" w:rsidR="00225058" w:rsidRPr="00225058" w:rsidRDefault="00CC29E0" w:rsidP="00CC29E0">
      <w:pPr>
        <w:spacing w:after="0" w:line="264" w:lineRule="auto"/>
        <w:rPr>
          <w:u w:val="single"/>
          <w:lang w:eastAsia="nb-NO"/>
        </w:rPr>
      </w:pPr>
      <w:r w:rsidRPr="00225058">
        <w:rPr>
          <w:u w:val="single"/>
          <w:lang w:eastAsia="nb-NO"/>
        </w:rPr>
        <w:t>§ 6 om sammenstillinger (høringsnotatet punkt 5.5.3)</w:t>
      </w:r>
    </w:p>
    <w:p w14:paraId="3AB44367" w14:textId="0B8470C4" w:rsidR="008669F0" w:rsidRDefault="00E95E76" w:rsidP="00CC29E0">
      <w:pPr>
        <w:spacing w:after="0" w:line="264" w:lineRule="auto"/>
      </w:pPr>
      <w:r>
        <w:rPr>
          <w:lang w:eastAsia="nb-NO"/>
        </w:rPr>
        <w:t xml:space="preserve">FFA mener det er viktig som departementet foreslår, at </w:t>
      </w:r>
      <w:r w:rsidR="002D2115">
        <w:rPr>
          <w:lang w:eastAsia="nb-NO"/>
        </w:rPr>
        <w:t>ordningen</w:t>
      </w:r>
      <w:r>
        <w:rPr>
          <w:lang w:eastAsia="nb-NO"/>
        </w:rPr>
        <w:t xml:space="preserve"> skal </w:t>
      </w:r>
      <w:r w:rsidR="002D2115">
        <w:rPr>
          <w:lang w:eastAsia="nb-NO"/>
        </w:rPr>
        <w:t xml:space="preserve">tilgjengeliggjøre data </w:t>
      </w:r>
      <w:r w:rsidR="00E62A76">
        <w:rPr>
          <w:lang w:eastAsia="nb-NO"/>
        </w:rPr>
        <w:t xml:space="preserve">på en måte som gjør at databrukeren – for vår del forskere - </w:t>
      </w:r>
      <w:r w:rsidR="00CC29E0" w:rsidRPr="00CC29E0">
        <w:rPr>
          <w:lang w:eastAsia="nb-NO"/>
        </w:rPr>
        <w:t xml:space="preserve">kan sette sammen og behandle data </w:t>
      </w:r>
      <w:r w:rsidR="00BC5865">
        <w:rPr>
          <w:lang w:eastAsia="nb-NO"/>
        </w:rPr>
        <w:t>når det er nødvendig</w:t>
      </w:r>
      <w:r w:rsidR="004E6029">
        <w:rPr>
          <w:lang w:eastAsia="nb-NO"/>
        </w:rPr>
        <w:t xml:space="preserve"> for forskningens formål</w:t>
      </w:r>
      <w:r w:rsidR="00CC29E0" w:rsidRPr="00CC29E0">
        <w:rPr>
          <w:lang w:eastAsia="nb-NO"/>
        </w:rPr>
        <w:t xml:space="preserve">, ikke avgrenset til allerede sammenstilte data. </w:t>
      </w:r>
      <w:r w:rsidR="00653974">
        <w:rPr>
          <w:lang w:eastAsia="nb-NO"/>
        </w:rPr>
        <w:t xml:space="preserve">Vi er enig i at dataene </w:t>
      </w:r>
      <w:r w:rsidR="00230822">
        <w:rPr>
          <w:lang w:eastAsia="nb-NO"/>
        </w:rPr>
        <w:t xml:space="preserve">kan tilgjengeliggjøres i en lukket analyseinfrastruktur, </w:t>
      </w:r>
      <w:r w:rsidR="00137A4E">
        <w:rPr>
          <w:lang w:eastAsia="nb-NO"/>
        </w:rPr>
        <w:t xml:space="preserve">der forskere kan behandle og analysere </w:t>
      </w:r>
      <w:r w:rsidR="001B0BA4">
        <w:t>direkte og indirekte identifiserbare helseopplysninger og andre personopplysninger</w:t>
      </w:r>
      <w:r w:rsidR="00316C6E">
        <w:t xml:space="preserve">. Det et viktig at forskerne </w:t>
      </w:r>
      <w:r w:rsidR="00CF6C9D">
        <w:t xml:space="preserve">i det lukkede analyserommet </w:t>
      </w:r>
      <w:r w:rsidR="00316C6E">
        <w:t>får tilgang til, eller får ta med seg,</w:t>
      </w:r>
      <w:r w:rsidR="00CF6C9D">
        <w:t xml:space="preserve"> egne </w:t>
      </w:r>
      <w:r w:rsidR="002D3BCB">
        <w:t xml:space="preserve">sofistikerte, </w:t>
      </w:r>
      <w:r w:rsidR="00CF6C9D">
        <w:t xml:space="preserve">analyseverktøy. </w:t>
      </w:r>
      <w:r w:rsidR="00D96AF9" w:rsidRPr="00D96AF9">
        <w:t xml:space="preserve">Vi vil understreke at hvis Helseanalyseplattformen skal fungere, krever det at </w:t>
      </w:r>
      <w:r w:rsidR="00F60F65">
        <w:t>den</w:t>
      </w:r>
      <w:r w:rsidR="00D96AF9" w:rsidRPr="00D96AF9">
        <w:t xml:space="preserve"> er fullgod for forskere, </w:t>
      </w:r>
      <w:proofErr w:type="spellStart"/>
      <w:r w:rsidR="00D96AF9" w:rsidRPr="00D96AF9">
        <w:t>dvs</w:t>
      </w:r>
      <w:proofErr w:type="spellEnd"/>
      <w:r w:rsidR="00D96AF9" w:rsidRPr="00D96AF9">
        <w:t xml:space="preserve"> at det gis frihet til å inkludere en bredde av sofistikerte analyseverktøy og egne data. Alternativt vil forskningen svekkes eller forskerne vil fortsette å bruke egne tekniske løsninger for å analysere data, noe som vil være ineffektiv ressursbruk og undergrave Helseanalyseplattformens målsetting.</w:t>
      </w:r>
    </w:p>
    <w:p w14:paraId="5758EB61" w14:textId="77777777" w:rsidR="005A2CBA" w:rsidRDefault="005A2CBA" w:rsidP="00CC29E0">
      <w:pPr>
        <w:spacing w:after="0" w:line="264" w:lineRule="auto"/>
      </w:pPr>
    </w:p>
    <w:p w14:paraId="62E74478" w14:textId="0DE4D392" w:rsidR="00F24FE4" w:rsidRDefault="00500F80" w:rsidP="00500F80">
      <w:pPr>
        <w:spacing w:after="0" w:line="264" w:lineRule="auto"/>
        <w:rPr>
          <w:lang w:eastAsia="nb-NO"/>
        </w:rPr>
      </w:pPr>
      <w:r>
        <w:rPr>
          <w:lang w:eastAsia="nb-NO"/>
        </w:rPr>
        <w:t xml:space="preserve">FFA </w:t>
      </w:r>
      <w:r w:rsidR="00DF3E33">
        <w:rPr>
          <w:lang w:eastAsia="nb-NO"/>
        </w:rPr>
        <w:t xml:space="preserve">slutter oss til at det kun skal være forskningsresultater som </w:t>
      </w:r>
      <w:r w:rsidR="00CB6F4B">
        <w:rPr>
          <w:lang w:eastAsia="nb-NO"/>
        </w:rPr>
        <w:t>databrukeren skal kunne "ta med seg ut" av analyserommet. Vi vil samtidig p</w:t>
      </w:r>
      <w:r w:rsidR="006F224D">
        <w:rPr>
          <w:lang w:eastAsia="nb-NO"/>
        </w:rPr>
        <w:t xml:space="preserve">åpeke </w:t>
      </w:r>
      <w:r w:rsidR="00C16900">
        <w:rPr>
          <w:lang w:eastAsia="nb-NO"/>
        </w:rPr>
        <w:t>rasjonale i</w:t>
      </w:r>
      <w:r w:rsidR="006F224D">
        <w:rPr>
          <w:lang w:eastAsia="nb-NO"/>
        </w:rPr>
        <w:t xml:space="preserve"> </w:t>
      </w:r>
      <w:r w:rsidR="00CB6F4B">
        <w:rPr>
          <w:lang w:eastAsia="nb-NO"/>
        </w:rPr>
        <w:t xml:space="preserve">at </w:t>
      </w:r>
      <w:r>
        <w:rPr>
          <w:lang w:eastAsia="nb-NO"/>
        </w:rPr>
        <w:t>sammenstilte data skal kunne gjenbrukes og ikke</w:t>
      </w:r>
      <w:r w:rsidR="00CB6F4B">
        <w:rPr>
          <w:lang w:eastAsia="nb-NO"/>
        </w:rPr>
        <w:t xml:space="preserve"> </w:t>
      </w:r>
      <w:r>
        <w:rPr>
          <w:lang w:eastAsia="nb-NO"/>
        </w:rPr>
        <w:t>måtte søkes om på nytt med fullstendig ny saksbehandling og uttrekk</w:t>
      </w:r>
      <w:r w:rsidR="00962CE2">
        <w:rPr>
          <w:lang w:eastAsia="nb-NO"/>
        </w:rPr>
        <w:t>, ved gjentatt</w:t>
      </w:r>
      <w:r w:rsidR="005B437C">
        <w:rPr>
          <w:lang w:eastAsia="nb-NO"/>
        </w:rPr>
        <w:t xml:space="preserve"> bruk</w:t>
      </w:r>
      <w:r>
        <w:rPr>
          <w:lang w:eastAsia="nb-NO"/>
        </w:rPr>
        <w:t>. Vi forventer at teknisk løsning</w:t>
      </w:r>
      <w:r w:rsidR="005B437C">
        <w:rPr>
          <w:lang w:eastAsia="nb-NO"/>
        </w:rPr>
        <w:t xml:space="preserve"> </w:t>
      </w:r>
      <w:r>
        <w:rPr>
          <w:lang w:eastAsia="nb-NO"/>
        </w:rPr>
        <w:t xml:space="preserve">i </w:t>
      </w:r>
      <w:r w:rsidR="005668D5">
        <w:rPr>
          <w:lang w:eastAsia="nb-NO"/>
        </w:rPr>
        <w:t>en h</w:t>
      </w:r>
      <w:r w:rsidR="006F224D">
        <w:rPr>
          <w:lang w:eastAsia="nb-NO"/>
        </w:rPr>
        <w:t>elseanalyseplattform</w:t>
      </w:r>
      <w:r>
        <w:rPr>
          <w:lang w:eastAsia="nb-NO"/>
        </w:rPr>
        <w:t xml:space="preserve">, både i lukkede </w:t>
      </w:r>
      <w:r w:rsidR="006F224D">
        <w:rPr>
          <w:lang w:eastAsia="nb-NO"/>
        </w:rPr>
        <w:t>analyserom</w:t>
      </w:r>
      <w:r>
        <w:rPr>
          <w:lang w:eastAsia="nb-NO"/>
        </w:rPr>
        <w:t xml:space="preserve"> og i </w:t>
      </w:r>
      <w:r w:rsidR="00F24FE4">
        <w:rPr>
          <w:lang w:eastAsia="nb-NO"/>
        </w:rPr>
        <w:t xml:space="preserve">en </w:t>
      </w:r>
      <w:r>
        <w:rPr>
          <w:lang w:eastAsia="nb-NO"/>
        </w:rPr>
        <w:t xml:space="preserve">kopidatabase, må kunne </w:t>
      </w:r>
      <w:r w:rsidR="005668D5">
        <w:rPr>
          <w:lang w:eastAsia="nb-NO"/>
        </w:rPr>
        <w:t xml:space="preserve">sikre og </w:t>
      </w:r>
      <w:r>
        <w:rPr>
          <w:lang w:eastAsia="nb-NO"/>
        </w:rPr>
        <w:t xml:space="preserve">ta vare på sammenstilte data. </w:t>
      </w:r>
    </w:p>
    <w:p w14:paraId="14C20268" w14:textId="2F6B80FF" w:rsidR="005A2CBA" w:rsidRDefault="00500F80" w:rsidP="00500F80">
      <w:pPr>
        <w:spacing w:after="0" w:line="264" w:lineRule="auto"/>
        <w:rPr>
          <w:lang w:eastAsia="nb-NO"/>
        </w:rPr>
      </w:pPr>
      <w:r>
        <w:rPr>
          <w:lang w:eastAsia="nb-NO"/>
        </w:rPr>
        <w:t xml:space="preserve">Vi </w:t>
      </w:r>
      <w:r w:rsidR="00E93126">
        <w:rPr>
          <w:lang w:eastAsia="nb-NO"/>
        </w:rPr>
        <w:t>foreslår derfor</w:t>
      </w:r>
      <w:r>
        <w:rPr>
          <w:lang w:eastAsia="nb-NO"/>
        </w:rPr>
        <w:t xml:space="preserve"> at krav om sletting av</w:t>
      </w:r>
      <w:r w:rsidR="00E93126">
        <w:rPr>
          <w:lang w:eastAsia="nb-NO"/>
        </w:rPr>
        <w:t xml:space="preserve"> </w:t>
      </w:r>
      <w:r>
        <w:rPr>
          <w:lang w:eastAsia="nb-NO"/>
        </w:rPr>
        <w:t>sammenstilte data ikke skal lovfestes.</w:t>
      </w:r>
    </w:p>
    <w:p w14:paraId="5D2A735C" w14:textId="77777777" w:rsidR="005668D5" w:rsidRDefault="005668D5" w:rsidP="00CC29E0">
      <w:pPr>
        <w:spacing w:after="0" w:line="264" w:lineRule="auto"/>
        <w:rPr>
          <w:lang w:eastAsia="nb-NO"/>
        </w:rPr>
      </w:pPr>
    </w:p>
    <w:p w14:paraId="5CC20060" w14:textId="0AC37E90" w:rsidR="00CC29E0" w:rsidRPr="005668D5" w:rsidRDefault="00CC29E0" w:rsidP="00CC29E0">
      <w:pPr>
        <w:spacing w:after="0" w:line="264" w:lineRule="auto"/>
        <w:rPr>
          <w:u w:val="single"/>
          <w:lang w:eastAsia="nb-NO"/>
        </w:rPr>
      </w:pPr>
      <w:r w:rsidRPr="005668D5">
        <w:rPr>
          <w:u w:val="single"/>
          <w:lang w:eastAsia="nb-NO"/>
        </w:rPr>
        <w:t xml:space="preserve">§ 7 om overføring av myndighet til å gi dispensasjon fra taushetsplikten (høringsnotatet punkt 5.6) </w:t>
      </w:r>
    </w:p>
    <w:p w14:paraId="1995549E" w14:textId="3C50DA0E" w:rsidR="00CC29E0" w:rsidRDefault="007E398C" w:rsidP="00CC29E0">
      <w:pPr>
        <w:spacing w:after="0" w:line="264" w:lineRule="auto"/>
        <w:rPr>
          <w:lang w:eastAsia="nb-NO"/>
        </w:rPr>
      </w:pPr>
      <w:r>
        <w:rPr>
          <w:lang w:eastAsia="nb-NO"/>
        </w:rPr>
        <w:t xml:space="preserve">FFA støtter departementets forslag om å </w:t>
      </w:r>
      <w:r w:rsidR="00CC29E0" w:rsidRPr="00CC29E0">
        <w:rPr>
          <w:lang w:eastAsia="nb-NO"/>
        </w:rPr>
        <w:t xml:space="preserve">overføre dispensasjonsmyndighet </w:t>
      </w:r>
      <w:r w:rsidR="00CE064A">
        <w:rPr>
          <w:lang w:eastAsia="nb-NO"/>
        </w:rPr>
        <w:t>f</w:t>
      </w:r>
      <w:r w:rsidR="00D35BB0">
        <w:rPr>
          <w:lang w:eastAsia="nb-NO"/>
        </w:rPr>
        <w:t>or</w:t>
      </w:r>
      <w:r w:rsidR="00CE064A">
        <w:rPr>
          <w:lang w:eastAsia="nb-NO"/>
        </w:rPr>
        <w:t xml:space="preserve"> taushetsplikt</w:t>
      </w:r>
      <w:r w:rsidR="00D35BB0">
        <w:rPr>
          <w:lang w:eastAsia="nb-NO"/>
        </w:rPr>
        <w:t>en</w:t>
      </w:r>
      <w:r w:rsidR="00CE064A">
        <w:rPr>
          <w:lang w:eastAsia="nb-NO"/>
        </w:rPr>
        <w:t xml:space="preserve"> </w:t>
      </w:r>
      <w:r w:rsidR="00CC29E0" w:rsidRPr="00CC29E0">
        <w:rPr>
          <w:lang w:eastAsia="nb-NO"/>
        </w:rPr>
        <w:t xml:space="preserve">fra de enkelte helseregistrene til </w:t>
      </w:r>
      <w:proofErr w:type="spellStart"/>
      <w:r w:rsidR="00CC29E0" w:rsidRPr="00CC29E0">
        <w:rPr>
          <w:lang w:eastAsia="nb-NO"/>
        </w:rPr>
        <w:t>ehelse</w:t>
      </w:r>
      <w:proofErr w:type="spellEnd"/>
      <w:r w:rsidR="00CC29E0" w:rsidRPr="00CC29E0">
        <w:rPr>
          <w:lang w:eastAsia="nb-NO"/>
        </w:rPr>
        <w:t>-direktoratet trinnvis</w:t>
      </w:r>
      <w:r>
        <w:rPr>
          <w:lang w:eastAsia="nb-NO"/>
        </w:rPr>
        <w:t>,</w:t>
      </w:r>
      <w:r w:rsidR="00CC29E0" w:rsidRPr="00CC29E0">
        <w:rPr>
          <w:lang w:eastAsia="nb-NO"/>
        </w:rPr>
        <w:t xml:space="preserve"> etter hvert som registerdata inkluderes. </w:t>
      </w:r>
      <w:r w:rsidR="00DB6418">
        <w:rPr>
          <w:lang w:eastAsia="nb-NO"/>
        </w:rPr>
        <w:t>Samling av dispensasjonsmyndigheten v</w:t>
      </w:r>
      <w:r w:rsidR="00CC29E0" w:rsidRPr="00CC29E0">
        <w:rPr>
          <w:lang w:eastAsia="nb-NO"/>
        </w:rPr>
        <w:t xml:space="preserve">il gi raskere og enklere søknadsbehandling ved at saksbehandlingen etter hvert samles der, </w:t>
      </w:r>
      <w:r w:rsidR="00CE064A">
        <w:rPr>
          <w:lang w:eastAsia="nb-NO"/>
        </w:rPr>
        <w:t xml:space="preserve">det vil ikke lenger være nødvendig med </w:t>
      </w:r>
      <w:r w:rsidR="00CC29E0" w:rsidRPr="00CC29E0">
        <w:rPr>
          <w:lang w:eastAsia="nb-NO"/>
        </w:rPr>
        <w:t xml:space="preserve">tilleggssøknad til REK el </w:t>
      </w:r>
      <w:proofErr w:type="spellStart"/>
      <w:r w:rsidR="00CC29E0" w:rsidRPr="00CC29E0">
        <w:rPr>
          <w:lang w:eastAsia="nb-NO"/>
        </w:rPr>
        <w:t>Hdir</w:t>
      </w:r>
      <w:proofErr w:type="spellEnd"/>
      <w:r w:rsidR="00CE064A">
        <w:rPr>
          <w:lang w:eastAsia="nb-NO"/>
        </w:rPr>
        <w:t xml:space="preserve">. </w:t>
      </w:r>
      <w:r w:rsidR="00CC29E0" w:rsidRPr="00CC29E0">
        <w:rPr>
          <w:lang w:eastAsia="nb-NO"/>
        </w:rPr>
        <w:t>Forslaget innebærer at vedtaksmyndighet overføres fra REK og Helsedirektoratet til Direktoratet for e-helse.</w:t>
      </w:r>
    </w:p>
    <w:p w14:paraId="4425253D" w14:textId="77777777" w:rsidR="0056547E" w:rsidRDefault="0056547E" w:rsidP="00CC29E0">
      <w:pPr>
        <w:spacing w:after="0" w:line="264" w:lineRule="auto"/>
        <w:rPr>
          <w:lang w:eastAsia="nb-NO"/>
        </w:rPr>
      </w:pPr>
    </w:p>
    <w:p w14:paraId="2D92135B" w14:textId="5DB4F576" w:rsidR="0056547E" w:rsidRPr="00AC55E7" w:rsidRDefault="00FB4DF1" w:rsidP="0056547E">
      <w:pPr>
        <w:pStyle w:val="Default"/>
        <w:rPr>
          <w:sz w:val="20"/>
          <w:szCs w:val="20"/>
        </w:rPr>
      </w:pPr>
      <w:r>
        <w:rPr>
          <w:rFonts w:ascii="Calibri" w:hAnsi="Calibri" w:cs="Calibri"/>
          <w:sz w:val="22"/>
          <w:szCs w:val="22"/>
        </w:rPr>
        <w:t xml:space="preserve">Vi mener at etter </w:t>
      </w:r>
      <w:r w:rsidR="00AE51EB">
        <w:rPr>
          <w:rFonts w:ascii="Calibri" w:hAnsi="Calibri" w:cs="Calibri"/>
          <w:sz w:val="22"/>
          <w:szCs w:val="22"/>
        </w:rPr>
        <w:t>når</w:t>
      </w:r>
      <w:r>
        <w:rPr>
          <w:rFonts w:ascii="Calibri" w:hAnsi="Calibri" w:cs="Calibri"/>
          <w:sz w:val="22"/>
          <w:szCs w:val="22"/>
        </w:rPr>
        <w:t xml:space="preserve"> Helsedataservice skal </w:t>
      </w:r>
      <w:r w:rsidR="00AE51EB">
        <w:rPr>
          <w:rFonts w:ascii="Calibri" w:hAnsi="Calibri" w:cs="Calibri"/>
          <w:sz w:val="22"/>
          <w:szCs w:val="22"/>
        </w:rPr>
        <w:t xml:space="preserve">gi tilgang til </w:t>
      </w:r>
      <w:r w:rsidR="00426DE0">
        <w:rPr>
          <w:rFonts w:ascii="Calibri" w:hAnsi="Calibri" w:cs="Calibri"/>
          <w:sz w:val="22"/>
          <w:szCs w:val="22"/>
        </w:rPr>
        <w:t>helsedata fra ulike registre</w:t>
      </w:r>
      <w:r>
        <w:rPr>
          <w:rFonts w:ascii="Calibri" w:hAnsi="Calibri" w:cs="Calibri"/>
          <w:sz w:val="22"/>
          <w:szCs w:val="22"/>
        </w:rPr>
        <w:t>,</w:t>
      </w:r>
      <w:r w:rsidR="00AE51EB">
        <w:rPr>
          <w:rFonts w:ascii="Calibri" w:hAnsi="Calibri" w:cs="Calibri"/>
          <w:sz w:val="22"/>
          <w:szCs w:val="22"/>
        </w:rPr>
        <w:t xml:space="preserve"> må det innebære</w:t>
      </w:r>
      <w:r w:rsidR="0056547E" w:rsidRPr="00AC55E7">
        <w:rPr>
          <w:rFonts w:ascii="Calibri" w:hAnsi="Calibri" w:cs="Calibri"/>
          <w:sz w:val="22"/>
          <w:szCs w:val="22"/>
        </w:rPr>
        <w:t xml:space="preserve"> at godkjenningene samordnes slik at kun én aktør skal vurdere tilgangen til data innenfor samme prosjekt. </w:t>
      </w:r>
    </w:p>
    <w:p w14:paraId="3D5BCEA1" w14:textId="77777777" w:rsidR="0056547E" w:rsidRPr="00CC29E0" w:rsidRDefault="0056547E" w:rsidP="00CC29E0">
      <w:pPr>
        <w:spacing w:after="0" w:line="264" w:lineRule="auto"/>
        <w:rPr>
          <w:lang w:eastAsia="nb-NO"/>
        </w:rPr>
      </w:pPr>
    </w:p>
    <w:p w14:paraId="10DC00E7" w14:textId="0FBB5C75" w:rsidR="00CC29E0" w:rsidRDefault="00CC29E0" w:rsidP="00CC29E0">
      <w:pPr>
        <w:spacing w:after="0" w:line="264" w:lineRule="auto"/>
        <w:rPr>
          <w:lang w:eastAsia="nb-NO"/>
        </w:rPr>
      </w:pPr>
      <w:r w:rsidRPr="00CC29E0">
        <w:rPr>
          <w:lang w:eastAsia="nb-NO"/>
        </w:rPr>
        <w:t xml:space="preserve">Forskningen vil selvsagt kreve ordinær REK-godkjenning, men </w:t>
      </w:r>
      <w:proofErr w:type="spellStart"/>
      <w:r w:rsidRPr="00CC29E0">
        <w:rPr>
          <w:lang w:eastAsia="nb-NO"/>
        </w:rPr>
        <w:t>ehelse-dir</w:t>
      </w:r>
      <w:proofErr w:type="spellEnd"/>
      <w:r w:rsidRPr="00CC29E0">
        <w:rPr>
          <w:lang w:eastAsia="nb-NO"/>
        </w:rPr>
        <w:t xml:space="preserve"> skal motta og koordinere søknader til REK ("</w:t>
      </w:r>
      <w:r w:rsidR="00124221">
        <w:rPr>
          <w:lang w:eastAsia="nb-NO"/>
        </w:rPr>
        <w:t>é</w:t>
      </w:r>
      <w:r w:rsidRPr="00CC29E0">
        <w:rPr>
          <w:lang w:eastAsia="nb-NO"/>
        </w:rPr>
        <w:t>n postkasse")</w:t>
      </w:r>
      <w:r w:rsidR="007F6862">
        <w:rPr>
          <w:lang w:eastAsia="nb-NO"/>
        </w:rPr>
        <w:t>.</w:t>
      </w:r>
    </w:p>
    <w:p w14:paraId="460216CF" w14:textId="77777777" w:rsidR="007F6862" w:rsidRDefault="007F6862" w:rsidP="00CC29E0">
      <w:pPr>
        <w:spacing w:after="0" w:line="264" w:lineRule="auto"/>
        <w:rPr>
          <w:lang w:eastAsia="nb-NO"/>
        </w:rPr>
      </w:pPr>
    </w:p>
    <w:p w14:paraId="08A3BEA2" w14:textId="591E6651" w:rsidR="0008286B" w:rsidRPr="009E34DE" w:rsidRDefault="007F6862" w:rsidP="0008286B">
      <w:pPr>
        <w:spacing w:after="0" w:line="264" w:lineRule="auto"/>
        <w:rPr>
          <w:lang w:eastAsia="nb-NO"/>
        </w:rPr>
      </w:pPr>
      <w:r>
        <w:rPr>
          <w:rFonts w:ascii="Calibri" w:hAnsi="Calibri" w:cs="Calibri"/>
        </w:rPr>
        <w:t xml:space="preserve">Når </w:t>
      </w:r>
      <w:r w:rsidR="0008286B">
        <w:rPr>
          <w:rFonts w:ascii="Calibri" w:hAnsi="Calibri" w:cs="Calibri"/>
        </w:rPr>
        <w:t>tilgangsforvaltningen samles hos én aktør – Helsedataservice</w:t>
      </w:r>
      <w:r>
        <w:rPr>
          <w:rFonts w:ascii="Calibri" w:hAnsi="Calibri" w:cs="Calibri"/>
        </w:rPr>
        <w:t>, forventer vi at det gir økt</w:t>
      </w:r>
      <w:r w:rsidR="0008286B">
        <w:rPr>
          <w:rFonts w:ascii="Calibri" w:hAnsi="Calibri" w:cs="Calibri"/>
        </w:rPr>
        <w:t xml:space="preserve"> effektivitet i søknadsbehandling, forutsigbarhet for søkere og likebehandling mellom søkere. </w:t>
      </w:r>
      <w:r w:rsidR="00290EFD">
        <w:rPr>
          <w:rFonts w:ascii="Calibri" w:hAnsi="Calibri" w:cs="Calibri"/>
        </w:rPr>
        <w:t xml:space="preserve">Det krever god kompetanse og tilstrekkelig kapasitet i Helsedataservice. </w:t>
      </w:r>
      <w:r w:rsidR="0008286B">
        <w:rPr>
          <w:rFonts w:ascii="Calibri" w:hAnsi="Calibri" w:cs="Calibri"/>
        </w:rPr>
        <w:t>Gitt at Helsedataservice oppfyller disse målene, mener vi det er et svært godt og viktig tiltak.</w:t>
      </w:r>
    </w:p>
    <w:p w14:paraId="0CD500A1" w14:textId="77777777" w:rsidR="0008286B" w:rsidRDefault="0008286B" w:rsidP="0008286B">
      <w:pPr>
        <w:spacing w:after="0" w:line="264" w:lineRule="auto"/>
        <w:rPr>
          <w:lang w:eastAsia="nb-NO"/>
        </w:rPr>
      </w:pPr>
    </w:p>
    <w:p w14:paraId="6CE1DF1B" w14:textId="23907611" w:rsidR="00290EFD" w:rsidRPr="00290EFD" w:rsidRDefault="00CC29E0" w:rsidP="00CC29E0">
      <w:pPr>
        <w:spacing w:after="0" w:line="264" w:lineRule="auto"/>
        <w:rPr>
          <w:u w:val="single"/>
          <w:lang w:eastAsia="nb-NO"/>
        </w:rPr>
      </w:pPr>
      <w:r w:rsidRPr="00290EFD">
        <w:rPr>
          <w:u w:val="single"/>
          <w:lang w:eastAsia="nb-NO"/>
        </w:rPr>
        <w:lastRenderedPageBreak/>
        <w:t xml:space="preserve">§ 10 tredje ledd bokstav b om </w:t>
      </w:r>
      <w:r w:rsidR="00527224">
        <w:rPr>
          <w:u w:val="single"/>
          <w:lang w:eastAsia="nb-NO"/>
        </w:rPr>
        <w:t xml:space="preserve">Unntak - </w:t>
      </w:r>
      <w:r w:rsidRPr="00290EFD">
        <w:rPr>
          <w:u w:val="single"/>
          <w:lang w:eastAsia="nb-NO"/>
        </w:rPr>
        <w:t xml:space="preserve">registerforvalternes forskning på data i eget register (høringsnotatet punkt 5.11.4) </w:t>
      </w:r>
    </w:p>
    <w:p w14:paraId="583B5397" w14:textId="77777777" w:rsidR="005E7A5C" w:rsidRDefault="00CC29E0" w:rsidP="005E7A5C">
      <w:pPr>
        <w:spacing w:after="0" w:line="264" w:lineRule="auto"/>
        <w:rPr>
          <w:lang w:eastAsia="nb-NO"/>
        </w:rPr>
      </w:pPr>
      <w:r w:rsidRPr="00CC29E0">
        <w:rPr>
          <w:lang w:eastAsia="nb-NO"/>
        </w:rPr>
        <w:t xml:space="preserve">Departementet </w:t>
      </w:r>
      <w:r w:rsidR="00F67C0C">
        <w:rPr>
          <w:lang w:eastAsia="nb-NO"/>
        </w:rPr>
        <w:t>holder</w:t>
      </w:r>
      <w:r w:rsidRPr="00CC29E0">
        <w:rPr>
          <w:lang w:eastAsia="nb-NO"/>
        </w:rPr>
        <w:t xml:space="preserve"> fast på utgangspunktet om å sentralisere beslutningsmyndigheten og å unngå parallellutleveringer. </w:t>
      </w:r>
      <w:r w:rsidR="005E7A5C">
        <w:rPr>
          <w:lang w:eastAsia="nb-NO"/>
        </w:rPr>
        <w:t>Departementet ser likevel behov for et unntak for data som skal benyttes av</w:t>
      </w:r>
    </w:p>
    <w:p w14:paraId="77029CAC" w14:textId="77777777" w:rsidR="005E7A5C" w:rsidRDefault="005E7A5C" w:rsidP="005E7A5C">
      <w:pPr>
        <w:spacing w:after="0" w:line="264" w:lineRule="auto"/>
        <w:rPr>
          <w:lang w:eastAsia="nb-NO"/>
        </w:rPr>
      </w:pPr>
      <w:r>
        <w:rPr>
          <w:lang w:eastAsia="nb-NO"/>
        </w:rPr>
        <w:t>offentlige virksomheter eller registerforvalteren til annen sekundærbruk enn</w:t>
      </w:r>
    </w:p>
    <w:p w14:paraId="6F554015" w14:textId="2D1FA699" w:rsidR="005E7A5C" w:rsidRDefault="005E7A5C" w:rsidP="005E7A5C">
      <w:pPr>
        <w:spacing w:after="0" w:line="264" w:lineRule="auto"/>
        <w:rPr>
          <w:lang w:eastAsia="nb-NO"/>
        </w:rPr>
      </w:pPr>
      <w:r>
        <w:rPr>
          <w:lang w:eastAsia="nb-NO"/>
        </w:rPr>
        <w:t xml:space="preserve">forskning. </w:t>
      </w:r>
      <w:r w:rsidR="001D74CC">
        <w:rPr>
          <w:lang w:eastAsia="nb-NO"/>
        </w:rPr>
        <w:t xml:space="preserve">FFA mener at det kan være fornuftig i en overgangsordning, for å unngå flaskehalser og unødige ventetider en tid mens Helsedataservice bygger </w:t>
      </w:r>
      <w:r w:rsidR="007E382F">
        <w:rPr>
          <w:lang w:eastAsia="nb-NO"/>
        </w:rPr>
        <w:t>opp kompetanse og kapasitet.</w:t>
      </w:r>
    </w:p>
    <w:p w14:paraId="6830CE64" w14:textId="77777777" w:rsidR="007E382F" w:rsidRDefault="007E382F" w:rsidP="005E7A5C">
      <w:pPr>
        <w:spacing w:after="0" w:line="264" w:lineRule="auto"/>
        <w:rPr>
          <w:lang w:eastAsia="nb-NO"/>
        </w:rPr>
      </w:pPr>
    </w:p>
    <w:p w14:paraId="7EC81EE9" w14:textId="7965DE44" w:rsidR="00CC29E0" w:rsidRPr="00CC29E0" w:rsidRDefault="00CC29E0" w:rsidP="00CC29E0">
      <w:pPr>
        <w:spacing w:after="0" w:line="264" w:lineRule="auto"/>
        <w:rPr>
          <w:lang w:eastAsia="nb-NO"/>
        </w:rPr>
      </w:pPr>
      <w:r w:rsidRPr="00CC29E0">
        <w:rPr>
          <w:lang w:eastAsia="nb-NO"/>
        </w:rPr>
        <w:t xml:space="preserve">Det foreslås ikke å gjøre et generelt unntak for registerforvalterens egen forskning, med begrunnelse at registerdata er et offentlig gode som skal deles åpent og på like vilkår, registerforvalteren skal ikke ha en annen adgang enn andre. Derimot foreslås det et unntak for registerforvalternes forskning på kun egne data: </w:t>
      </w:r>
      <w:r w:rsidRPr="00D14F6A">
        <w:rPr>
          <w:i/>
          <w:iCs/>
          <w:lang w:eastAsia="nb-NO"/>
        </w:rPr>
        <w:t>"Forskriften bør derfor utformes slik at forskere i registerforvalterens virksomhet, når dataene ikke skal sammenstilles med andre data, skal kunne forske på dataene i registeret uten krav om søknad til direktoratet. Unntaket skal gjelde alle registre som</w:t>
      </w:r>
      <w:r w:rsidR="00D14F6A" w:rsidRPr="00D14F6A">
        <w:rPr>
          <w:i/>
          <w:iCs/>
          <w:lang w:eastAsia="nb-NO"/>
        </w:rPr>
        <w:t xml:space="preserve"> </w:t>
      </w:r>
      <w:r w:rsidRPr="00D14F6A">
        <w:rPr>
          <w:i/>
          <w:iCs/>
          <w:lang w:eastAsia="nb-NO"/>
        </w:rPr>
        <w:t>inkluderes i løsningen, ikke bare kvalitetsregistrene. Departementet presiserer at dette unntaket kun skal gjelde der det skal forskes på opplysninger fra ett register.</w:t>
      </w:r>
      <w:r w:rsidR="00EA0A5E">
        <w:rPr>
          <w:i/>
          <w:iCs/>
          <w:lang w:eastAsia="nb-NO"/>
        </w:rPr>
        <w:t xml:space="preserve"> (…) </w:t>
      </w:r>
      <w:r w:rsidR="00EA0A5E" w:rsidRPr="00EA0A5E">
        <w:rPr>
          <w:i/>
          <w:iCs/>
          <w:lang w:eastAsia="nb-NO"/>
        </w:rPr>
        <w:t>Virksomheten må i tillegg uansett ha systemer som regulerer adgangen til dataene, også for egne forskere</w:t>
      </w:r>
      <w:r w:rsidR="00524C87">
        <w:rPr>
          <w:i/>
          <w:iCs/>
          <w:lang w:eastAsia="nb-NO"/>
        </w:rPr>
        <w:t>."</w:t>
      </w:r>
    </w:p>
    <w:p w14:paraId="5E56BDE3" w14:textId="77777777" w:rsidR="00CC29E0" w:rsidRPr="00CC29E0" w:rsidRDefault="00CC29E0" w:rsidP="00CC29E0">
      <w:pPr>
        <w:spacing w:after="0" w:line="264" w:lineRule="auto"/>
        <w:rPr>
          <w:lang w:eastAsia="nb-NO"/>
        </w:rPr>
      </w:pPr>
    </w:p>
    <w:p w14:paraId="40BFA760" w14:textId="67B521A1" w:rsidR="00524C87" w:rsidRPr="00CC29E0" w:rsidRDefault="00524C87" w:rsidP="00524C87">
      <w:pPr>
        <w:spacing w:after="0" w:line="264" w:lineRule="auto"/>
        <w:rPr>
          <w:lang w:eastAsia="nb-NO"/>
        </w:rPr>
      </w:pPr>
      <w:r>
        <w:rPr>
          <w:lang w:eastAsia="nb-NO"/>
        </w:rPr>
        <w:t>FFA vil framheve viktigheten av</w:t>
      </w:r>
      <w:r w:rsidR="00CC29E0" w:rsidRPr="00CC29E0">
        <w:rPr>
          <w:lang w:eastAsia="nb-NO"/>
        </w:rPr>
        <w:t xml:space="preserve"> at tilgangen til data er åpen og lik for alle forskningsmiljøene og andre brukere</w:t>
      </w:r>
      <w:r w:rsidR="00BA31E4">
        <w:rPr>
          <w:lang w:eastAsia="nb-NO"/>
        </w:rPr>
        <w:t>. Vi ser den praktiske begrunnelsen for at regist</w:t>
      </w:r>
      <w:r w:rsidR="00BC2266">
        <w:rPr>
          <w:lang w:eastAsia="nb-NO"/>
        </w:rPr>
        <w:t>erforvalter</w:t>
      </w:r>
      <w:r w:rsidR="00BA31E4">
        <w:rPr>
          <w:lang w:eastAsia="nb-NO"/>
        </w:rPr>
        <w:t xml:space="preserve"> skal kunne benytte egne data</w:t>
      </w:r>
      <w:r w:rsidR="00653461">
        <w:rPr>
          <w:lang w:eastAsia="nb-NO"/>
        </w:rPr>
        <w:t xml:space="preserve"> uten å koble til andre registre,</w:t>
      </w:r>
      <w:r w:rsidR="00BA31E4">
        <w:rPr>
          <w:lang w:eastAsia="nb-NO"/>
        </w:rPr>
        <w:t xml:space="preserve"> uten å gå v</w:t>
      </w:r>
      <w:r w:rsidR="00941C85">
        <w:rPr>
          <w:lang w:eastAsia="nb-NO"/>
        </w:rPr>
        <w:t>ia Helsedataservice som vedtaksmyndighet</w:t>
      </w:r>
      <w:r w:rsidR="00BC2266">
        <w:rPr>
          <w:lang w:eastAsia="nb-NO"/>
        </w:rPr>
        <w:t xml:space="preserve">. </w:t>
      </w:r>
      <w:r w:rsidR="00055D8A">
        <w:rPr>
          <w:lang w:eastAsia="nb-NO"/>
        </w:rPr>
        <w:t>Det må samtidig påpekes at det</w:t>
      </w:r>
      <w:r w:rsidR="00055855">
        <w:rPr>
          <w:lang w:eastAsia="nb-NO"/>
        </w:rPr>
        <w:t xml:space="preserve"> da også innebærer et unntak fra prinsippet om lik tilgang til helsedata, både </w:t>
      </w:r>
      <w:proofErr w:type="spellStart"/>
      <w:r w:rsidR="00055855">
        <w:rPr>
          <w:lang w:eastAsia="nb-NO"/>
        </w:rPr>
        <w:t>mht</w:t>
      </w:r>
      <w:proofErr w:type="spellEnd"/>
      <w:r w:rsidR="00055855">
        <w:rPr>
          <w:lang w:eastAsia="nb-NO"/>
        </w:rPr>
        <w:t xml:space="preserve"> tid</w:t>
      </w:r>
      <w:r w:rsidR="009F695E">
        <w:rPr>
          <w:lang w:eastAsia="nb-NO"/>
        </w:rPr>
        <w:t xml:space="preserve">sbruk og </w:t>
      </w:r>
      <w:proofErr w:type="spellStart"/>
      <w:r w:rsidR="009F695E">
        <w:rPr>
          <w:lang w:eastAsia="nb-NO"/>
        </w:rPr>
        <w:t>mht</w:t>
      </w:r>
      <w:proofErr w:type="spellEnd"/>
      <w:r w:rsidR="009F695E">
        <w:rPr>
          <w:lang w:eastAsia="nb-NO"/>
        </w:rPr>
        <w:t xml:space="preserve"> </w:t>
      </w:r>
      <w:r w:rsidR="00F750AF">
        <w:rPr>
          <w:lang w:eastAsia="nb-NO"/>
        </w:rPr>
        <w:t>brukerbetaling</w:t>
      </w:r>
      <w:r w:rsidR="009F695E">
        <w:rPr>
          <w:lang w:eastAsia="nb-NO"/>
        </w:rPr>
        <w:t>.</w:t>
      </w:r>
    </w:p>
    <w:p w14:paraId="6A056851" w14:textId="77777777" w:rsidR="00CC29E0" w:rsidRPr="00CC29E0" w:rsidRDefault="00CC29E0" w:rsidP="00CC29E0">
      <w:pPr>
        <w:spacing w:after="0" w:line="264" w:lineRule="auto"/>
        <w:rPr>
          <w:lang w:eastAsia="nb-NO"/>
        </w:rPr>
      </w:pPr>
    </w:p>
    <w:p w14:paraId="30DCB582" w14:textId="77777777" w:rsidR="009F695E" w:rsidRDefault="00CC29E0" w:rsidP="00CC29E0">
      <w:pPr>
        <w:spacing w:after="0" w:line="264" w:lineRule="auto"/>
        <w:rPr>
          <w:lang w:eastAsia="nb-NO"/>
        </w:rPr>
      </w:pPr>
      <w:r w:rsidRPr="009F695E">
        <w:rPr>
          <w:u w:val="single"/>
          <w:lang w:eastAsia="nb-NO"/>
        </w:rPr>
        <w:t>§8 omtaler betaling for tilgjengeliggjøring av data fra Helsedataservice, uavhengig av hvem som bruker tjenesten</w:t>
      </w:r>
      <w:r w:rsidRPr="00CC29E0">
        <w:rPr>
          <w:lang w:eastAsia="nb-NO"/>
        </w:rPr>
        <w:t xml:space="preserve">. </w:t>
      </w:r>
    </w:p>
    <w:p w14:paraId="22483F21" w14:textId="77777777" w:rsidR="00276AE8" w:rsidRDefault="00421280" w:rsidP="00CC29E0">
      <w:pPr>
        <w:spacing w:after="0" w:line="264" w:lineRule="auto"/>
        <w:rPr>
          <w:lang w:eastAsia="nb-NO"/>
        </w:rPr>
      </w:pPr>
      <w:r>
        <w:rPr>
          <w:lang w:eastAsia="nb-NO"/>
        </w:rPr>
        <w:t xml:space="preserve">Departementet åpner </w:t>
      </w:r>
      <w:r w:rsidR="00CC29E0" w:rsidRPr="00CC29E0">
        <w:rPr>
          <w:lang w:eastAsia="nb-NO"/>
        </w:rPr>
        <w:t xml:space="preserve">for fastpris for søknad, timeprismodell for saksbehandling, standardiserte satser og abonnement. </w:t>
      </w:r>
    </w:p>
    <w:p w14:paraId="22A90797" w14:textId="135FD6B5" w:rsidR="00B222FF" w:rsidRDefault="00433103" w:rsidP="00CC29E0">
      <w:pPr>
        <w:spacing w:after="0" w:line="264" w:lineRule="auto"/>
        <w:rPr>
          <w:lang w:eastAsia="nb-NO"/>
        </w:rPr>
      </w:pPr>
      <w:r w:rsidRPr="00433103">
        <w:rPr>
          <w:lang w:eastAsia="nb-NO"/>
        </w:rPr>
        <w:t>FFA mener at helseregisterdata er et felles gode. Det er et uttrykt mål at disse skal utnyttes bedre.</w:t>
      </w:r>
      <w:r>
        <w:rPr>
          <w:lang w:eastAsia="nb-NO"/>
        </w:rPr>
        <w:t xml:space="preserve"> Skal</w:t>
      </w:r>
      <w:r w:rsidR="00B222FF" w:rsidRPr="00B222FF">
        <w:rPr>
          <w:lang w:eastAsia="nb-NO"/>
        </w:rPr>
        <w:t xml:space="preserve"> helsedata bli tatt i bruk i tråd med intensjonen, må en unngå at prising av tilgangen begrenser bruken i virksomheter med liten betalingsevne. Det kan gi konkurransefortrinn for veletablerte selskaper fremfor unge virksomheter og for internasjonal industri fremfor norske virksomheter og forskningsmiljø.</w:t>
      </w:r>
      <w:r w:rsidR="00276AE8">
        <w:rPr>
          <w:lang w:eastAsia="nb-NO"/>
        </w:rPr>
        <w:t xml:space="preserve"> Vi vil derfor op</w:t>
      </w:r>
      <w:r>
        <w:rPr>
          <w:lang w:eastAsia="nb-NO"/>
        </w:rPr>
        <w:t xml:space="preserve">pfordre til at en vurderer differensierte priser med utgangspunkt i </w:t>
      </w:r>
      <w:r w:rsidR="00586FE1">
        <w:rPr>
          <w:lang w:eastAsia="nb-NO"/>
        </w:rPr>
        <w:t>virksomhetens formål</w:t>
      </w:r>
      <w:r w:rsidR="0001319A">
        <w:rPr>
          <w:lang w:eastAsia="nb-NO"/>
        </w:rPr>
        <w:t xml:space="preserve">. </w:t>
      </w:r>
      <w:r w:rsidR="00AC02EF">
        <w:rPr>
          <w:lang w:eastAsia="nb-NO"/>
        </w:rPr>
        <w:t>Det</w:t>
      </w:r>
      <w:r w:rsidR="00AC02EF" w:rsidRPr="00AC02EF">
        <w:rPr>
          <w:lang w:eastAsia="nb-NO"/>
        </w:rPr>
        <w:t xml:space="preserve"> er viktig at aktører med samme formål gis samme vilkår ved brukerbetaling</w:t>
      </w:r>
      <w:r w:rsidR="0076465D">
        <w:rPr>
          <w:lang w:eastAsia="nb-NO"/>
        </w:rPr>
        <w:t xml:space="preserve">. </w:t>
      </w:r>
    </w:p>
    <w:p w14:paraId="277A5007" w14:textId="77777777" w:rsidR="0001371E" w:rsidRDefault="0001371E" w:rsidP="0001371E">
      <w:pPr>
        <w:spacing w:after="0" w:line="264" w:lineRule="auto"/>
        <w:rPr>
          <w:lang w:eastAsia="nb-NO"/>
        </w:rPr>
      </w:pPr>
    </w:p>
    <w:p w14:paraId="528217DC" w14:textId="63BD6850" w:rsidR="0001371E" w:rsidRDefault="0001371E" w:rsidP="0001371E">
      <w:pPr>
        <w:spacing w:after="0" w:line="264" w:lineRule="auto"/>
        <w:rPr>
          <w:lang w:eastAsia="nb-NO"/>
        </w:rPr>
      </w:pPr>
      <w:r>
        <w:rPr>
          <w:lang w:eastAsia="nb-NO"/>
        </w:rPr>
        <w:t>Avhengig av nivå</w:t>
      </w:r>
      <w:r w:rsidR="00AC02EF">
        <w:rPr>
          <w:lang w:eastAsia="nb-NO"/>
        </w:rPr>
        <w:t xml:space="preserve"> </w:t>
      </w:r>
      <w:r>
        <w:rPr>
          <w:lang w:eastAsia="nb-NO"/>
        </w:rPr>
        <w:t>på betaling, risikerer en at brukerbetaling gir et insentiv til å begrense bruken. Både stykkpris og</w:t>
      </w:r>
      <w:r w:rsidR="0076465D">
        <w:rPr>
          <w:lang w:eastAsia="nb-NO"/>
        </w:rPr>
        <w:t xml:space="preserve"> </w:t>
      </w:r>
      <w:r>
        <w:rPr>
          <w:lang w:eastAsia="nb-NO"/>
        </w:rPr>
        <w:t>abonnement må vurderes nøye i dette perspektivet, så en ikke strukturerer finansieringen på en</w:t>
      </w:r>
      <w:r w:rsidR="0076465D">
        <w:rPr>
          <w:lang w:eastAsia="nb-NO"/>
        </w:rPr>
        <w:t xml:space="preserve"> </w:t>
      </w:r>
      <w:r>
        <w:rPr>
          <w:lang w:eastAsia="nb-NO"/>
        </w:rPr>
        <w:t>måte som reduserer samfunnsnytten av helseregisterdata.</w:t>
      </w:r>
    </w:p>
    <w:p w14:paraId="53A402E7" w14:textId="77777777" w:rsidR="0001371E" w:rsidRPr="00CC29E0" w:rsidRDefault="0001371E" w:rsidP="00CC29E0">
      <w:pPr>
        <w:spacing w:after="0" w:line="264" w:lineRule="auto"/>
        <w:rPr>
          <w:lang w:eastAsia="nb-NO"/>
        </w:rPr>
      </w:pPr>
    </w:p>
    <w:p w14:paraId="67D35224" w14:textId="77777777" w:rsidR="007C0F9D" w:rsidRPr="00B04BB0" w:rsidRDefault="007C0F9D" w:rsidP="007C0F9D">
      <w:pPr>
        <w:spacing w:after="0" w:line="264" w:lineRule="auto"/>
      </w:pPr>
    </w:p>
    <w:p w14:paraId="67D35228" w14:textId="77777777" w:rsidR="00850CF1" w:rsidRDefault="0064464E"/>
    <w:sectPr w:rsidR="00850CF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B1229" w14:textId="77777777" w:rsidR="00674D5F" w:rsidRDefault="00674D5F" w:rsidP="00A25E5F">
      <w:pPr>
        <w:spacing w:after="0" w:line="240" w:lineRule="auto"/>
      </w:pPr>
      <w:r>
        <w:separator/>
      </w:r>
    </w:p>
  </w:endnote>
  <w:endnote w:type="continuationSeparator" w:id="0">
    <w:p w14:paraId="6F26B076" w14:textId="77777777" w:rsidR="00674D5F" w:rsidRDefault="00674D5F" w:rsidP="00A25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5E6F" w14:textId="77777777" w:rsidR="00A25E5F" w:rsidRDefault="00A25E5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D7F4" w14:textId="77777777" w:rsidR="00A25E5F" w:rsidRDefault="00A25E5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FDD4" w14:textId="77777777" w:rsidR="00A25E5F" w:rsidRDefault="00A25E5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238AF" w14:textId="77777777" w:rsidR="00674D5F" w:rsidRDefault="00674D5F" w:rsidP="00A25E5F">
      <w:pPr>
        <w:spacing w:after="0" w:line="240" w:lineRule="auto"/>
      </w:pPr>
      <w:r>
        <w:separator/>
      </w:r>
    </w:p>
  </w:footnote>
  <w:footnote w:type="continuationSeparator" w:id="0">
    <w:p w14:paraId="4D36A80F" w14:textId="77777777" w:rsidR="00674D5F" w:rsidRDefault="00674D5F" w:rsidP="00A25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E89C" w14:textId="77777777" w:rsidR="00A25E5F" w:rsidRDefault="00A25E5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A31B" w14:textId="4EE039AB" w:rsidR="00A25E5F" w:rsidRDefault="00A25E5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A90B" w14:textId="77777777" w:rsidR="00A25E5F" w:rsidRDefault="00A25E5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BA4045"/>
    <w:multiLevelType w:val="hybridMultilevel"/>
    <w:tmpl w:val="0C8E0BD6"/>
    <w:lvl w:ilvl="0" w:tplc="B618326E">
      <w:start w:val="1"/>
      <w:numFmt w:val="decimal"/>
      <w:lvlText w:val="%1."/>
      <w:lvlJc w:val="left"/>
      <w:pPr>
        <w:ind w:left="720" w:hanging="360"/>
      </w:pPr>
      <w:rPr>
        <w:rFonts w:hint="default"/>
        <w:b/>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734113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F9D"/>
    <w:rsid w:val="000109E9"/>
    <w:rsid w:val="0001319A"/>
    <w:rsid w:val="0001371E"/>
    <w:rsid w:val="00016872"/>
    <w:rsid w:val="00055855"/>
    <w:rsid w:val="00055D8A"/>
    <w:rsid w:val="0008286B"/>
    <w:rsid w:val="00086EF1"/>
    <w:rsid w:val="000A7D1C"/>
    <w:rsid w:val="000B4011"/>
    <w:rsid w:val="000B4D33"/>
    <w:rsid w:val="000B54FF"/>
    <w:rsid w:val="000B5D34"/>
    <w:rsid w:val="000C5F25"/>
    <w:rsid w:val="000D39ED"/>
    <w:rsid w:val="000F15C2"/>
    <w:rsid w:val="00124221"/>
    <w:rsid w:val="00137A4E"/>
    <w:rsid w:val="001460DA"/>
    <w:rsid w:val="00162314"/>
    <w:rsid w:val="00163B52"/>
    <w:rsid w:val="001B0BA4"/>
    <w:rsid w:val="001B52D5"/>
    <w:rsid w:val="001D74CC"/>
    <w:rsid w:val="00225058"/>
    <w:rsid w:val="00230822"/>
    <w:rsid w:val="00240853"/>
    <w:rsid w:val="00246612"/>
    <w:rsid w:val="00262C7F"/>
    <w:rsid w:val="00276AE8"/>
    <w:rsid w:val="00287B34"/>
    <w:rsid w:val="00290EFD"/>
    <w:rsid w:val="002A31EF"/>
    <w:rsid w:val="002A46C9"/>
    <w:rsid w:val="002D2115"/>
    <w:rsid w:val="002D3BCB"/>
    <w:rsid w:val="002E0A5E"/>
    <w:rsid w:val="00316C6E"/>
    <w:rsid w:val="00336E10"/>
    <w:rsid w:val="00356769"/>
    <w:rsid w:val="00366547"/>
    <w:rsid w:val="003B68A6"/>
    <w:rsid w:val="003C0333"/>
    <w:rsid w:val="003F4E08"/>
    <w:rsid w:val="003F652B"/>
    <w:rsid w:val="00421280"/>
    <w:rsid w:val="00426DE0"/>
    <w:rsid w:val="00432D30"/>
    <w:rsid w:val="00433103"/>
    <w:rsid w:val="004A75DA"/>
    <w:rsid w:val="004B405F"/>
    <w:rsid w:val="004C1F8B"/>
    <w:rsid w:val="004D6B25"/>
    <w:rsid w:val="004E6029"/>
    <w:rsid w:val="00500F80"/>
    <w:rsid w:val="005127D0"/>
    <w:rsid w:val="00524C87"/>
    <w:rsid w:val="00527224"/>
    <w:rsid w:val="0056547E"/>
    <w:rsid w:val="005668D5"/>
    <w:rsid w:val="00586FE1"/>
    <w:rsid w:val="00587571"/>
    <w:rsid w:val="005925C2"/>
    <w:rsid w:val="005946C8"/>
    <w:rsid w:val="005A2CBA"/>
    <w:rsid w:val="005B437C"/>
    <w:rsid w:val="005C05D6"/>
    <w:rsid w:val="005E7A5C"/>
    <w:rsid w:val="005F72A0"/>
    <w:rsid w:val="00607318"/>
    <w:rsid w:val="006157A8"/>
    <w:rsid w:val="0064464E"/>
    <w:rsid w:val="00650E50"/>
    <w:rsid w:val="00653461"/>
    <w:rsid w:val="00653974"/>
    <w:rsid w:val="006623DD"/>
    <w:rsid w:val="00674D5F"/>
    <w:rsid w:val="0069744B"/>
    <w:rsid w:val="006C0AA5"/>
    <w:rsid w:val="006F224D"/>
    <w:rsid w:val="00701108"/>
    <w:rsid w:val="007018D6"/>
    <w:rsid w:val="007022B9"/>
    <w:rsid w:val="00747955"/>
    <w:rsid w:val="0076465D"/>
    <w:rsid w:val="007866AE"/>
    <w:rsid w:val="00794DBD"/>
    <w:rsid w:val="007A6033"/>
    <w:rsid w:val="007B13DA"/>
    <w:rsid w:val="007C0F9D"/>
    <w:rsid w:val="007C511D"/>
    <w:rsid w:val="007E382F"/>
    <w:rsid w:val="007E398C"/>
    <w:rsid w:val="007F6862"/>
    <w:rsid w:val="00807DD7"/>
    <w:rsid w:val="008410CC"/>
    <w:rsid w:val="008669F0"/>
    <w:rsid w:val="00867969"/>
    <w:rsid w:val="00885299"/>
    <w:rsid w:val="0088672D"/>
    <w:rsid w:val="00895825"/>
    <w:rsid w:val="008F106F"/>
    <w:rsid w:val="009041FF"/>
    <w:rsid w:val="00924CDA"/>
    <w:rsid w:val="00932B71"/>
    <w:rsid w:val="00941C85"/>
    <w:rsid w:val="00960234"/>
    <w:rsid w:val="00962CE2"/>
    <w:rsid w:val="00992E8D"/>
    <w:rsid w:val="009A324B"/>
    <w:rsid w:val="009C0E17"/>
    <w:rsid w:val="009E34DE"/>
    <w:rsid w:val="009E5986"/>
    <w:rsid w:val="009E6E07"/>
    <w:rsid w:val="009F695E"/>
    <w:rsid w:val="00A25E5F"/>
    <w:rsid w:val="00A3096D"/>
    <w:rsid w:val="00A32E24"/>
    <w:rsid w:val="00A532EF"/>
    <w:rsid w:val="00A65666"/>
    <w:rsid w:val="00A8529C"/>
    <w:rsid w:val="00A91698"/>
    <w:rsid w:val="00AB586D"/>
    <w:rsid w:val="00AC02EF"/>
    <w:rsid w:val="00AC3824"/>
    <w:rsid w:val="00AC55E7"/>
    <w:rsid w:val="00AE51EB"/>
    <w:rsid w:val="00B01E45"/>
    <w:rsid w:val="00B04BB0"/>
    <w:rsid w:val="00B222FF"/>
    <w:rsid w:val="00B3028F"/>
    <w:rsid w:val="00B53C78"/>
    <w:rsid w:val="00B63D26"/>
    <w:rsid w:val="00B87885"/>
    <w:rsid w:val="00BA31E4"/>
    <w:rsid w:val="00BB34CD"/>
    <w:rsid w:val="00BB4187"/>
    <w:rsid w:val="00BC2266"/>
    <w:rsid w:val="00BC272D"/>
    <w:rsid w:val="00BC5865"/>
    <w:rsid w:val="00BC5BE9"/>
    <w:rsid w:val="00BE51D2"/>
    <w:rsid w:val="00BF185B"/>
    <w:rsid w:val="00C0053A"/>
    <w:rsid w:val="00C16900"/>
    <w:rsid w:val="00C203EE"/>
    <w:rsid w:val="00C502CD"/>
    <w:rsid w:val="00C74739"/>
    <w:rsid w:val="00C91C27"/>
    <w:rsid w:val="00CB6F4B"/>
    <w:rsid w:val="00CC29E0"/>
    <w:rsid w:val="00CC40C6"/>
    <w:rsid w:val="00CE064A"/>
    <w:rsid w:val="00CE799B"/>
    <w:rsid w:val="00CF6652"/>
    <w:rsid w:val="00CF6C9D"/>
    <w:rsid w:val="00D14F6A"/>
    <w:rsid w:val="00D35BB0"/>
    <w:rsid w:val="00D619A7"/>
    <w:rsid w:val="00D72053"/>
    <w:rsid w:val="00D96AF9"/>
    <w:rsid w:val="00DB6418"/>
    <w:rsid w:val="00DC09C2"/>
    <w:rsid w:val="00DC1ACD"/>
    <w:rsid w:val="00DE00ED"/>
    <w:rsid w:val="00DF3E33"/>
    <w:rsid w:val="00DF44A2"/>
    <w:rsid w:val="00E36AF2"/>
    <w:rsid w:val="00E5010D"/>
    <w:rsid w:val="00E60192"/>
    <w:rsid w:val="00E62A76"/>
    <w:rsid w:val="00E73AF5"/>
    <w:rsid w:val="00E80940"/>
    <w:rsid w:val="00E87B4F"/>
    <w:rsid w:val="00E93126"/>
    <w:rsid w:val="00E95E76"/>
    <w:rsid w:val="00EA0A5E"/>
    <w:rsid w:val="00EA44D2"/>
    <w:rsid w:val="00EA4C53"/>
    <w:rsid w:val="00EA5A66"/>
    <w:rsid w:val="00EB005C"/>
    <w:rsid w:val="00EC4B3A"/>
    <w:rsid w:val="00ED1F17"/>
    <w:rsid w:val="00ED759B"/>
    <w:rsid w:val="00EE6A95"/>
    <w:rsid w:val="00F217C0"/>
    <w:rsid w:val="00F24FE4"/>
    <w:rsid w:val="00F40F2B"/>
    <w:rsid w:val="00F570F4"/>
    <w:rsid w:val="00F60F65"/>
    <w:rsid w:val="00F67C0C"/>
    <w:rsid w:val="00F750AF"/>
    <w:rsid w:val="00F9178E"/>
    <w:rsid w:val="00FB3CB3"/>
    <w:rsid w:val="00FB4DF1"/>
    <w:rsid w:val="00FC67ED"/>
    <w:rsid w:val="00FD0EE8"/>
    <w:rsid w:val="00FD1EAA"/>
    <w:rsid w:val="00FD3912"/>
    <w:rsid w:val="00FE1DEA"/>
    <w:rsid w:val="00FF32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35219"/>
  <w15:chartTrackingRefBased/>
  <w15:docId w15:val="{849B24D3-8D27-4C4A-A278-BE0C3360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F9D"/>
    <w:pPr>
      <w:spacing w:after="200" w:line="276" w:lineRule="auto"/>
    </w:pPr>
  </w:style>
  <w:style w:type="paragraph" w:styleId="Overskrift2">
    <w:name w:val="heading 2"/>
    <w:basedOn w:val="Normal"/>
    <w:next w:val="Normal"/>
    <w:link w:val="Overskrift2Tegn"/>
    <w:uiPriority w:val="9"/>
    <w:qFormat/>
    <w:rsid w:val="007C0F9D"/>
    <w:pPr>
      <w:keepNext/>
      <w:keepLines/>
      <w:spacing w:before="200" w:after="0"/>
      <w:outlineLvl w:val="1"/>
    </w:pPr>
    <w:rPr>
      <w:rFonts w:ascii="Cambria" w:eastAsiaTheme="majorEastAsia" w:hAnsi="Cambria" w:cstheme="majorBidi"/>
      <w:b/>
      <w:bCs/>
      <w:color w:val="0087B3"/>
      <w:sz w:val="26"/>
      <w:szCs w:val="26"/>
      <w:lang w:eastAsia="nb-NO"/>
    </w:rPr>
  </w:style>
  <w:style w:type="paragraph" w:styleId="Overskrift3">
    <w:name w:val="heading 3"/>
    <w:basedOn w:val="Normal"/>
    <w:next w:val="Normal"/>
    <w:link w:val="Overskrift3Tegn"/>
    <w:uiPriority w:val="9"/>
    <w:qFormat/>
    <w:rsid w:val="007C0F9D"/>
    <w:pPr>
      <w:keepNext/>
      <w:keepLines/>
      <w:spacing w:before="200" w:after="0"/>
      <w:outlineLvl w:val="2"/>
    </w:pPr>
    <w:rPr>
      <w:rFonts w:ascii="Cambria" w:eastAsiaTheme="majorEastAsia" w:hAnsi="Cambria" w:cstheme="majorBidi"/>
      <w:b/>
      <w:bCs/>
      <w:color w:val="0087B3"/>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7C0F9D"/>
    <w:rPr>
      <w:rFonts w:ascii="Cambria" w:eastAsiaTheme="majorEastAsia" w:hAnsi="Cambria" w:cstheme="majorBidi"/>
      <w:b/>
      <w:bCs/>
      <w:color w:val="0087B3"/>
      <w:sz w:val="26"/>
      <w:szCs w:val="26"/>
      <w:lang w:eastAsia="nb-NO"/>
    </w:rPr>
  </w:style>
  <w:style w:type="character" w:customStyle="1" w:styleId="Overskrift3Tegn">
    <w:name w:val="Overskrift 3 Tegn"/>
    <w:basedOn w:val="Standardskriftforavsnitt"/>
    <w:link w:val="Overskrift3"/>
    <w:uiPriority w:val="9"/>
    <w:rsid w:val="007C0F9D"/>
    <w:rPr>
      <w:rFonts w:ascii="Cambria" w:eastAsiaTheme="majorEastAsia" w:hAnsi="Cambria" w:cstheme="majorBidi"/>
      <w:b/>
      <w:bCs/>
      <w:color w:val="0087B3"/>
      <w:lang w:eastAsia="nb-NO"/>
    </w:rPr>
  </w:style>
  <w:style w:type="paragraph" w:styleId="Listeavsnitt">
    <w:name w:val="List Paragraph"/>
    <w:basedOn w:val="Normal"/>
    <w:uiPriority w:val="34"/>
    <w:qFormat/>
    <w:rsid w:val="00CC29E0"/>
    <w:pPr>
      <w:ind w:left="720"/>
      <w:contextualSpacing/>
    </w:pPr>
  </w:style>
  <w:style w:type="character" w:styleId="Hyperkobling">
    <w:name w:val="Hyperlink"/>
    <w:basedOn w:val="Standardskriftforavsnitt"/>
    <w:uiPriority w:val="99"/>
    <w:unhideWhenUsed/>
    <w:rsid w:val="00ED1F17"/>
    <w:rPr>
      <w:color w:val="0563C1" w:themeColor="hyperlink"/>
      <w:u w:val="single"/>
    </w:rPr>
  </w:style>
  <w:style w:type="character" w:styleId="Ulstomtale">
    <w:name w:val="Unresolved Mention"/>
    <w:basedOn w:val="Standardskriftforavsnitt"/>
    <w:uiPriority w:val="99"/>
    <w:semiHidden/>
    <w:unhideWhenUsed/>
    <w:rsid w:val="00ED1F17"/>
    <w:rPr>
      <w:color w:val="605E5C"/>
      <w:shd w:val="clear" w:color="auto" w:fill="E1DFDD"/>
    </w:rPr>
  </w:style>
  <w:style w:type="character" w:styleId="Fulgthyperkobling">
    <w:name w:val="FollowedHyperlink"/>
    <w:basedOn w:val="Standardskriftforavsnitt"/>
    <w:uiPriority w:val="99"/>
    <w:semiHidden/>
    <w:unhideWhenUsed/>
    <w:rsid w:val="000B54FF"/>
    <w:rPr>
      <w:color w:val="954F72" w:themeColor="followedHyperlink"/>
      <w:u w:val="single"/>
    </w:rPr>
  </w:style>
  <w:style w:type="paragraph" w:customStyle="1" w:styleId="Default">
    <w:name w:val="Default"/>
    <w:rsid w:val="009E34DE"/>
    <w:pPr>
      <w:autoSpaceDE w:val="0"/>
      <w:autoSpaceDN w:val="0"/>
      <w:adjustRightInd w:val="0"/>
      <w:spacing w:after="0" w:line="240" w:lineRule="auto"/>
    </w:pPr>
    <w:rPr>
      <w:rFonts w:ascii="Times New Roman" w:hAnsi="Times New Roman" w:cs="Times New Roman"/>
      <w:color w:val="000000"/>
      <w:sz w:val="24"/>
      <w:szCs w:val="24"/>
    </w:rPr>
  </w:style>
  <w:style w:type="character" w:styleId="Merknadsreferanse">
    <w:name w:val="annotation reference"/>
    <w:basedOn w:val="Standardskriftforavsnitt"/>
    <w:uiPriority w:val="99"/>
    <w:semiHidden/>
    <w:unhideWhenUsed/>
    <w:rsid w:val="00650E50"/>
    <w:rPr>
      <w:sz w:val="16"/>
      <w:szCs w:val="16"/>
    </w:rPr>
  </w:style>
  <w:style w:type="paragraph" w:styleId="Merknadstekst">
    <w:name w:val="annotation text"/>
    <w:basedOn w:val="Normal"/>
    <w:link w:val="MerknadstekstTegn"/>
    <w:uiPriority w:val="99"/>
    <w:unhideWhenUsed/>
    <w:rsid w:val="00650E50"/>
    <w:pPr>
      <w:spacing w:line="240" w:lineRule="auto"/>
    </w:pPr>
    <w:rPr>
      <w:sz w:val="20"/>
      <w:szCs w:val="20"/>
    </w:rPr>
  </w:style>
  <w:style w:type="character" w:customStyle="1" w:styleId="MerknadstekstTegn">
    <w:name w:val="Merknadstekst Tegn"/>
    <w:basedOn w:val="Standardskriftforavsnitt"/>
    <w:link w:val="Merknadstekst"/>
    <w:uiPriority w:val="99"/>
    <w:rsid w:val="00650E50"/>
    <w:rPr>
      <w:sz w:val="20"/>
      <w:szCs w:val="20"/>
    </w:rPr>
  </w:style>
  <w:style w:type="paragraph" w:styleId="Kommentaremne">
    <w:name w:val="annotation subject"/>
    <w:basedOn w:val="Merknadstekst"/>
    <w:next w:val="Merknadstekst"/>
    <w:link w:val="KommentaremneTegn"/>
    <w:uiPriority w:val="99"/>
    <w:semiHidden/>
    <w:unhideWhenUsed/>
    <w:rsid w:val="00650E50"/>
    <w:rPr>
      <w:b/>
      <w:bCs/>
    </w:rPr>
  </w:style>
  <w:style w:type="character" w:customStyle="1" w:styleId="KommentaremneTegn">
    <w:name w:val="Kommentaremne Tegn"/>
    <w:basedOn w:val="MerknadstekstTegn"/>
    <w:link w:val="Kommentaremne"/>
    <w:uiPriority w:val="99"/>
    <w:semiHidden/>
    <w:rsid w:val="00650E50"/>
    <w:rPr>
      <w:b/>
      <w:bCs/>
      <w:sz w:val="20"/>
      <w:szCs w:val="20"/>
    </w:rPr>
  </w:style>
  <w:style w:type="paragraph" w:styleId="Topptekst">
    <w:name w:val="header"/>
    <w:basedOn w:val="Normal"/>
    <w:link w:val="TopptekstTegn"/>
    <w:uiPriority w:val="99"/>
    <w:unhideWhenUsed/>
    <w:rsid w:val="00A25E5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25E5F"/>
  </w:style>
  <w:style w:type="paragraph" w:styleId="Bunntekst">
    <w:name w:val="footer"/>
    <w:basedOn w:val="Normal"/>
    <w:link w:val="BunntekstTegn"/>
    <w:uiPriority w:val="99"/>
    <w:unhideWhenUsed/>
    <w:rsid w:val="00A25E5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25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var.regjeringen.no/nb/registrer_horingsuttalelse/H293309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1569</Words>
  <Characters>8317</Characters>
  <Application>Microsoft Office Word</Application>
  <DocSecurity>4</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NHO</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Landstad</dc:creator>
  <cp:keywords/>
  <dc:description/>
  <cp:lastModifiedBy>Adrian Høglund</cp:lastModifiedBy>
  <cp:revision>2</cp:revision>
  <dcterms:created xsi:type="dcterms:W3CDTF">2022-12-01T07:06:00Z</dcterms:created>
  <dcterms:modified xsi:type="dcterms:W3CDTF">2022-12-01T07:06:00Z</dcterms:modified>
</cp:coreProperties>
</file>