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EC18" w14:textId="4D95C315" w:rsidR="009A2161" w:rsidRDefault="00473D3F" w:rsidP="00874D10">
      <w:pPr>
        <w:rPr>
          <w:rFonts w:ascii="Calibri" w:hAnsi="Calibri" w:cs="Calibri"/>
          <w:b/>
          <w:sz w:val="22"/>
          <w:szCs w:val="22"/>
          <w:lang w:val="nn-NO"/>
        </w:rPr>
      </w:pPr>
      <w:r>
        <w:rPr>
          <w:rFonts w:ascii="Calibri" w:hAnsi="Calibri" w:cs="Calibri"/>
          <w:b/>
          <w:sz w:val="22"/>
          <w:szCs w:val="22"/>
          <w:lang w:val="nn-NO"/>
        </w:rPr>
        <w:t>Kunnskapsdepartementet</w:t>
      </w:r>
      <w:r w:rsidR="009A2161">
        <w:rPr>
          <w:rFonts w:ascii="Calibri" w:hAnsi="Calibri" w:cs="Calibri"/>
          <w:b/>
          <w:sz w:val="22"/>
          <w:szCs w:val="22"/>
          <w:lang w:val="nn-NO"/>
        </w:rPr>
        <w:tab/>
      </w:r>
    </w:p>
    <w:p w14:paraId="3501D091" w14:textId="1A2D6286" w:rsidR="001F4DF2" w:rsidRPr="00A12CBD" w:rsidRDefault="000B285C" w:rsidP="00874D10">
      <w:pPr>
        <w:rPr>
          <w:sz w:val="22"/>
          <w:szCs w:val="22"/>
          <w:lang w:val="nn-NO"/>
        </w:rPr>
      </w:pPr>
      <w:hyperlink r:id="rId8" w:history="1">
        <w:r w:rsidR="001F4DF2" w:rsidRPr="00A12CBD">
          <w:rPr>
            <w:rStyle w:val="Hyperkobling"/>
            <w:sz w:val="22"/>
            <w:szCs w:val="22"/>
            <w:lang w:val="nn-NO"/>
          </w:rPr>
          <w:t>www.regjeringa.no/id2904153</w:t>
        </w:r>
      </w:hyperlink>
    </w:p>
    <w:p w14:paraId="19603401" w14:textId="6DDF9270" w:rsidR="00691512" w:rsidRPr="00262E46" w:rsidRDefault="00806BDE" w:rsidP="00874D10">
      <w:pPr>
        <w:rPr>
          <w:lang w:val="nn-NO"/>
        </w:rPr>
      </w:pP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</w:p>
    <w:p w14:paraId="1AB7D37F" w14:textId="3BD984D0" w:rsidR="00691512" w:rsidRPr="005467DD" w:rsidRDefault="00806BDE" w:rsidP="00691512">
      <w:pPr>
        <w:rPr>
          <w:rFonts w:ascii="Calibri" w:hAnsi="Calibri" w:cs="Calibri"/>
          <w:sz w:val="22"/>
          <w:szCs w:val="22"/>
          <w:lang w:val="nn-NO"/>
        </w:rPr>
      </w:pP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Pr="00262E46">
        <w:rPr>
          <w:lang w:val="nn-NO"/>
        </w:rPr>
        <w:tab/>
      </w:r>
      <w:r w:rsidR="00742A02" w:rsidRPr="005467DD">
        <w:rPr>
          <w:lang w:val="nn-NO"/>
        </w:rPr>
        <w:t xml:space="preserve">         </w:t>
      </w:r>
      <w:r w:rsidR="00742A02" w:rsidRPr="005467DD">
        <w:rPr>
          <w:rFonts w:ascii="Calibri" w:hAnsi="Calibri" w:cs="Calibri"/>
          <w:sz w:val="22"/>
          <w:szCs w:val="22"/>
          <w:lang w:val="nn-NO"/>
        </w:rPr>
        <w:t>Oslo</w:t>
      </w:r>
      <w:r w:rsidR="00A25B4A" w:rsidRPr="005467DD">
        <w:rPr>
          <w:rFonts w:ascii="Calibri" w:hAnsi="Calibri" w:cs="Calibri"/>
          <w:sz w:val="22"/>
          <w:szCs w:val="22"/>
          <w:lang w:val="nn-NO"/>
        </w:rPr>
        <w:t>,</w:t>
      </w:r>
      <w:r w:rsidR="00742A02" w:rsidRPr="005467DD">
        <w:rPr>
          <w:rFonts w:ascii="Calibri" w:hAnsi="Calibri" w:cs="Calibri"/>
          <w:sz w:val="22"/>
          <w:szCs w:val="22"/>
          <w:lang w:val="nn-NO"/>
        </w:rPr>
        <w:t xml:space="preserve"> </w:t>
      </w:r>
      <w:r w:rsidR="005467DD">
        <w:rPr>
          <w:rFonts w:ascii="Calibri" w:hAnsi="Calibri" w:cs="Calibri"/>
          <w:sz w:val="22"/>
          <w:szCs w:val="22"/>
          <w:lang w:val="nn-NO"/>
        </w:rPr>
        <w:t>7</w:t>
      </w:r>
      <w:r w:rsidR="00996A8C" w:rsidRPr="005467DD">
        <w:rPr>
          <w:rFonts w:ascii="Calibri" w:hAnsi="Calibri" w:cs="Calibri"/>
          <w:sz w:val="22"/>
          <w:szCs w:val="22"/>
          <w:lang w:val="nn-NO"/>
        </w:rPr>
        <w:t>.</w:t>
      </w:r>
      <w:r w:rsidR="003A2E0D" w:rsidRPr="005467DD">
        <w:rPr>
          <w:rFonts w:ascii="Calibri" w:hAnsi="Calibri" w:cs="Calibri"/>
          <w:sz w:val="22"/>
          <w:szCs w:val="22"/>
          <w:lang w:val="nn-NO"/>
        </w:rPr>
        <w:t>6</w:t>
      </w:r>
      <w:r w:rsidR="00FB1296" w:rsidRPr="005467DD">
        <w:rPr>
          <w:rFonts w:ascii="Calibri" w:hAnsi="Calibri" w:cs="Calibri"/>
          <w:sz w:val="22"/>
          <w:szCs w:val="22"/>
          <w:lang w:val="nn-NO"/>
        </w:rPr>
        <w:t>.202</w:t>
      </w:r>
      <w:r w:rsidR="003A2E0D" w:rsidRPr="005467DD">
        <w:rPr>
          <w:rFonts w:ascii="Calibri" w:hAnsi="Calibri" w:cs="Calibri"/>
          <w:sz w:val="22"/>
          <w:szCs w:val="22"/>
          <w:lang w:val="nn-NO"/>
        </w:rPr>
        <w:t>2</w:t>
      </w:r>
    </w:p>
    <w:p w14:paraId="19396D68" w14:textId="77777777" w:rsidR="00806BDE" w:rsidRPr="005467DD" w:rsidRDefault="00806BDE" w:rsidP="00691512">
      <w:pPr>
        <w:rPr>
          <w:lang w:val="nn-NO"/>
        </w:rPr>
      </w:pPr>
    </w:p>
    <w:p w14:paraId="2A8191EA" w14:textId="79BDE913" w:rsidR="004B4F9D" w:rsidRPr="003A2E0D" w:rsidRDefault="008E6570" w:rsidP="00874D10">
      <w:pPr>
        <w:rPr>
          <w:rFonts w:asciiTheme="minorHAnsi" w:hAnsiTheme="minorHAnsi" w:cstheme="minorHAnsi"/>
          <w:sz w:val="22"/>
          <w:szCs w:val="22"/>
        </w:rPr>
      </w:pPr>
      <w:r w:rsidRPr="003A2E0D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 xml:space="preserve">Høringsinnspill til </w:t>
      </w:r>
      <w:r w:rsidR="003A2E0D" w:rsidRPr="003A2E0D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rapporten "Fin</w:t>
      </w:r>
      <w:r w:rsidR="003A2E0D">
        <w:rPr>
          <w:rFonts w:ascii="Calibri" w:hAnsi="Calibri" w:cs="Calibri"/>
          <w:b/>
          <w:bCs/>
          <w:color w:val="244061" w:themeColor="accent1" w:themeShade="80"/>
          <w:kern w:val="32"/>
          <w:sz w:val="32"/>
          <w:szCs w:val="32"/>
        </w:rPr>
        <w:t>ansiering av universiteter og høyskoler"</w:t>
      </w:r>
    </w:p>
    <w:p w14:paraId="65C6E9B1" w14:textId="77777777" w:rsidR="00FB1296" w:rsidRPr="003A2E0D" w:rsidRDefault="00FB1296" w:rsidP="00FB1296">
      <w:pPr>
        <w:rPr>
          <w:rFonts w:asciiTheme="majorHAnsi" w:hAnsiTheme="majorHAnsi"/>
          <w:sz w:val="22"/>
          <w:szCs w:val="22"/>
        </w:rPr>
      </w:pPr>
    </w:p>
    <w:p w14:paraId="6EAA0E30" w14:textId="1C3705CF" w:rsidR="00F4046E" w:rsidRDefault="00B04E19" w:rsidP="00F4046E">
      <w:pPr>
        <w:spacing w:line="264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 xml:space="preserve">Vi viser til høringsbrev av 18.mars 2022 og takker for muligheten til å gi </w:t>
      </w:r>
      <w:r w:rsidR="00D15C0F">
        <w:rPr>
          <w:rFonts w:ascii="Calibri" w:eastAsia="Calibri" w:hAnsi="Calibri"/>
          <w:bCs/>
          <w:sz w:val="22"/>
          <w:szCs w:val="22"/>
          <w:lang w:eastAsia="en-US"/>
        </w:rPr>
        <w:t>våre vurderinger av anbefalinger</w:t>
      </w:r>
      <w:r w:rsidR="00CD123E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8E6570">
        <w:rPr>
          <w:rFonts w:ascii="Calibri" w:eastAsia="Calibri" w:hAnsi="Calibri"/>
          <w:bCs/>
          <w:sz w:val="22"/>
          <w:szCs w:val="22"/>
          <w:lang w:eastAsia="en-US"/>
        </w:rPr>
        <w:t>fra ekspertutvalg om finansiering av universitet og høyskoler (Hatlen-utvalget).</w:t>
      </w:r>
      <w:r w:rsidR="003A2E0D">
        <w:rPr>
          <w:rFonts w:ascii="Calibri" w:eastAsia="Calibri" w:hAnsi="Calibri"/>
          <w:bCs/>
          <w:sz w:val="22"/>
          <w:szCs w:val="22"/>
          <w:lang w:eastAsia="en-US"/>
        </w:rPr>
        <w:t xml:space="preserve"> Vi viser også til vårt innspill</w:t>
      </w:r>
      <w:r w:rsidR="00E4131C">
        <w:rPr>
          <w:rFonts w:ascii="Calibri" w:eastAsia="Calibri" w:hAnsi="Calibri"/>
          <w:bCs/>
          <w:sz w:val="22"/>
          <w:szCs w:val="22"/>
          <w:lang w:eastAsia="en-US"/>
        </w:rPr>
        <w:t xml:space="preserve"> av 5.1.2021 til ekspertutvalgets arbeid. </w:t>
      </w:r>
    </w:p>
    <w:p w14:paraId="0D1DC78F" w14:textId="77777777" w:rsidR="00E4131C" w:rsidRPr="00F4046E" w:rsidRDefault="00E4131C" w:rsidP="00F4046E">
      <w:pPr>
        <w:spacing w:line="264" w:lineRule="auto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3090CCE9" w14:textId="77777777" w:rsidR="00F4046E" w:rsidRPr="00F4046E" w:rsidRDefault="00F4046E" w:rsidP="00A12CBD">
      <w:pPr>
        <w:spacing w:line="276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F4046E">
        <w:rPr>
          <w:rFonts w:ascii="Calibri" w:eastAsia="Calibri" w:hAnsi="Calibri"/>
          <w:i/>
          <w:iCs/>
          <w:sz w:val="22"/>
          <w:szCs w:val="22"/>
          <w:lang w:eastAsia="en-US"/>
        </w:rPr>
        <w:t>FFA mener det er positivt at utvalget anbefaler å</w:t>
      </w:r>
    </w:p>
    <w:p w14:paraId="3E11CBA7" w14:textId="6BAA7E01" w:rsidR="00F4046E" w:rsidRPr="00F4046E" w:rsidRDefault="00F4046E" w:rsidP="00A12CBD">
      <w:pPr>
        <w:numPr>
          <w:ilvl w:val="0"/>
          <w:numId w:val="3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F4046E">
        <w:rPr>
          <w:rFonts w:ascii="Calibri" w:eastAsia="Calibri" w:hAnsi="Calibri"/>
          <w:sz w:val="22"/>
          <w:szCs w:val="22"/>
          <w:lang w:eastAsia="en-US"/>
        </w:rPr>
        <w:t>Beholde resultatindikatoren for doktorgrad. Hvis denne hadde blitt</w:t>
      </w:r>
      <w:r w:rsidR="00441BF4">
        <w:rPr>
          <w:rFonts w:ascii="Calibri" w:eastAsia="Calibri" w:hAnsi="Calibri"/>
          <w:sz w:val="22"/>
          <w:szCs w:val="22"/>
          <w:lang w:eastAsia="en-US"/>
        </w:rPr>
        <w:t xml:space="preserve"> foreslått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 fjernet, ville det </w:t>
      </w:r>
      <w:r w:rsidR="00441BF4">
        <w:rPr>
          <w:rFonts w:ascii="Calibri" w:eastAsia="Calibri" w:hAnsi="Calibri"/>
          <w:sz w:val="22"/>
          <w:szCs w:val="22"/>
          <w:lang w:eastAsia="en-US"/>
        </w:rPr>
        <w:t xml:space="preserve">vanskeliggjort 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gjort samarbeid knyttet til </w:t>
      </w:r>
      <w:proofErr w:type="spellStart"/>
      <w:r w:rsidRPr="00F4046E">
        <w:rPr>
          <w:rFonts w:ascii="Calibri" w:eastAsia="Calibri" w:hAnsi="Calibri"/>
          <w:sz w:val="22"/>
          <w:szCs w:val="22"/>
          <w:lang w:eastAsia="en-US"/>
        </w:rPr>
        <w:t>phd</w:t>
      </w:r>
      <w:proofErr w:type="spellEnd"/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-er som har arbeidsplass utenfor gradsgivende institusjon. Nå får gradsgivende institusjonen honorering for arbeidet og er interessert </w:t>
      </w:r>
      <w:r w:rsidR="00441BF4">
        <w:rPr>
          <w:rFonts w:ascii="Calibri" w:eastAsia="Calibri" w:hAnsi="Calibri"/>
          <w:sz w:val="22"/>
          <w:szCs w:val="22"/>
          <w:lang w:eastAsia="en-US"/>
        </w:rPr>
        <w:t>i</w:t>
      </w:r>
      <w:r w:rsidR="00DF46A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også </w:t>
      </w:r>
      <w:r w:rsidR="00DF46AE">
        <w:rPr>
          <w:rFonts w:ascii="Calibri" w:eastAsia="Calibri" w:hAnsi="Calibri"/>
          <w:sz w:val="22"/>
          <w:szCs w:val="22"/>
          <w:lang w:eastAsia="en-US"/>
        </w:rPr>
        <w:t xml:space="preserve">å 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ha studenter som har sin arbeidsgiver ved andre institusjoner.  </w:t>
      </w:r>
    </w:p>
    <w:p w14:paraId="4BBEAAAC" w14:textId="7599BF36" w:rsidR="00F4046E" w:rsidRPr="00F4046E" w:rsidRDefault="00F4046E" w:rsidP="00F4046E">
      <w:pPr>
        <w:numPr>
          <w:ilvl w:val="0"/>
          <w:numId w:val="33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BOA-indikatoren fjernes. Den stimulerer UH til å delta i et oppdragsmarked og kan oppfattes som en subsidiering av oppdragsinntekter i </w:t>
      </w:r>
      <w:r w:rsidR="00150D07">
        <w:rPr>
          <w:rFonts w:ascii="Calibri" w:eastAsia="Calibri" w:hAnsi="Calibri"/>
          <w:sz w:val="22"/>
          <w:szCs w:val="22"/>
          <w:lang w:eastAsia="en-US"/>
        </w:rPr>
        <w:t xml:space="preserve">et </w:t>
      </w:r>
      <w:r w:rsidRPr="00F4046E">
        <w:rPr>
          <w:rFonts w:ascii="Calibri" w:eastAsia="Calibri" w:hAnsi="Calibri"/>
          <w:sz w:val="22"/>
          <w:szCs w:val="22"/>
          <w:lang w:eastAsia="en-US"/>
        </w:rPr>
        <w:t>konkurranse</w:t>
      </w:r>
      <w:r w:rsidR="00150D07">
        <w:rPr>
          <w:rFonts w:ascii="Calibri" w:eastAsia="Calibri" w:hAnsi="Calibri"/>
          <w:sz w:val="22"/>
          <w:szCs w:val="22"/>
          <w:lang w:eastAsia="en-US"/>
        </w:rPr>
        <w:t>basert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 marked. </w:t>
      </w:r>
      <w:r w:rsidR="00150D07">
        <w:rPr>
          <w:rFonts w:ascii="Calibri" w:eastAsia="Calibri" w:hAnsi="Calibri"/>
          <w:sz w:val="22"/>
          <w:szCs w:val="22"/>
          <w:lang w:eastAsia="en-US"/>
        </w:rPr>
        <w:t>Vi er enige i at BOA-indikatoren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 gir risiko for vridningseffekter i samspillet med næringsliv og offentlig virksomhet, slik utvalget påpeker. Dagens BOA vanner ut skillet mellom UH og institutter og bidrar </w:t>
      </w:r>
      <w:r w:rsidR="006B4C43">
        <w:rPr>
          <w:rFonts w:ascii="Calibri" w:eastAsia="Calibri" w:hAnsi="Calibri"/>
          <w:sz w:val="22"/>
          <w:szCs w:val="22"/>
          <w:lang w:eastAsia="en-US"/>
        </w:rPr>
        <w:t xml:space="preserve">samtidig 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til midlertidighet i UH. </w:t>
      </w:r>
    </w:p>
    <w:p w14:paraId="6CA65CA0" w14:textId="434FB740" w:rsidR="00F4046E" w:rsidRDefault="00F4046E" w:rsidP="00F4046E">
      <w:pPr>
        <w:numPr>
          <w:ilvl w:val="0"/>
          <w:numId w:val="33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F4046E">
        <w:rPr>
          <w:rFonts w:ascii="Calibri" w:eastAsia="Calibri" w:hAnsi="Calibri"/>
          <w:sz w:val="22"/>
          <w:szCs w:val="22"/>
          <w:lang w:val="da-DK" w:eastAsia="en-US"/>
        </w:rPr>
        <w:t xml:space="preserve">NFR-indikatoren fjernes. 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Det er allerede for mange søknader </w:t>
      </w:r>
      <w:r w:rsidR="006B4C43">
        <w:rPr>
          <w:rFonts w:ascii="Calibri" w:eastAsia="Calibri" w:hAnsi="Calibri"/>
          <w:sz w:val="22"/>
          <w:szCs w:val="22"/>
          <w:lang w:eastAsia="en-US"/>
        </w:rPr>
        <w:t xml:space="preserve">til NFR 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og vi bør ikke ha </w:t>
      </w:r>
      <w:r w:rsidR="00310CC0">
        <w:rPr>
          <w:rFonts w:ascii="Calibri" w:eastAsia="Calibri" w:hAnsi="Calibri"/>
          <w:sz w:val="22"/>
          <w:szCs w:val="22"/>
          <w:lang w:eastAsia="en-US"/>
        </w:rPr>
        <w:t xml:space="preserve">økonomiske 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insentiver </w:t>
      </w:r>
      <w:r w:rsidR="00310CC0">
        <w:rPr>
          <w:rFonts w:ascii="Calibri" w:eastAsia="Calibri" w:hAnsi="Calibri"/>
          <w:sz w:val="22"/>
          <w:szCs w:val="22"/>
          <w:lang w:eastAsia="en-US"/>
        </w:rPr>
        <w:t>for</w:t>
      </w:r>
      <w:r w:rsidR="006B4C43">
        <w:rPr>
          <w:rFonts w:ascii="Calibri" w:eastAsia="Calibri" w:hAnsi="Calibri"/>
          <w:sz w:val="22"/>
          <w:szCs w:val="22"/>
          <w:lang w:eastAsia="en-US"/>
        </w:rPr>
        <w:t xml:space="preserve"> å øke søknadsaktivite</w:t>
      </w:r>
      <w:r w:rsidR="00310CC0">
        <w:rPr>
          <w:rFonts w:ascii="Calibri" w:eastAsia="Calibri" w:hAnsi="Calibri"/>
          <w:sz w:val="22"/>
          <w:szCs w:val="22"/>
          <w:lang w:eastAsia="en-US"/>
        </w:rPr>
        <w:t>ten til NFR ytterligere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14:paraId="030B2767" w14:textId="77777777" w:rsidR="00310CC0" w:rsidRPr="00F4046E" w:rsidRDefault="00310CC0" w:rsidP="00310CC0">
      <w:pPr>
        <w:spacing w:after="160" w:line="259" w:lineRule="auto"/>
        <w:ind w:left="36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14:paraId="453C65A7" w14:textId="77777777" w:rsidR="00F4046E" w:rsidRPr="00F4046E" w:rsidRDefault="00F4046E" w:rsidP="00A12CBD">
      <w:pPr>
        <w:spacing w:line="276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 w:rsidRPr="00F4046E">
        <w:rPr>
          <w:rFonts w:ascii="Calibri" w:eastAsia="Calibri" w:hAnsi="Calibri"/>
          <w:i/>
          <w:iCs/>
          <w:sz w:val="22"/>
          <w:szCs w:val="22"/>
          <w:lang w:eastAsia="en-US"/>
        </w:rPr>
        <w:t>FFA er bekymret for utvalgets anbefalinger om å</w:t>
      </w:r>
    </w:p>
    <w:p w14:paraId="5E4BD864" w14:textId="77777777" w:rsidR="0047546A" w:rsidRDefault="00F4046E" w:rsidP="00A12CBD">
      <w:pPr>
        <w:numPr>
          <w:ilvl w:val="0"/>
          <w:numId w:val="3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F4046E">
        <w:rPr>
          <w:rFonts w:ascii="Calibri" w:eastAsia="Calibri" w:hAnsi="Calibri"/>
          <w:sz w:val="22"/>
          <w:szCs w:val="22"/>
          <w:lang w:eastAsia="en-US"/>
        </w:rPr>
        <w:t>Fjerne publiseringsindikatoren.</w:t>
      </w:r>
      <w:r w:rsidR="00764657" w:rsidRPr="00764657">
        <w:t xml:space="preserve"> </w:t>
      </w:r>
      <w:r w:rsidR="00764657" w:rsidRPr="00764657">
        <w:rPr>
          <w:rFonts w:ascii="Calibri" w:eastAsia="Calibri" w:hAnsi="Calibri"/>
          <w:sz w:val="22"/>
          <w:szCs w:val="22"/>
          <w:lang w:eastAsia="en-US"/>
        </w:rPr>
        <w:t xml:space="preserve">FFA er enig med utvalget i deres vurdering av at det er vanskelig å bruke finansieringssystemet for å få god statistikk på publisering og at publiseringsregistreringen trolig </w:t>
      </w:r>
      <w:r w:rsidR="007C2DF0">
        <w:rPr>
          <w:rFonts w:ascii="Calibri" w:eastAsia="Calibri" w:hAnsi="Calibri"/>
          <w:sz w:val="22"/>
          <w:szCs w:val="22"/>
          <w:lang w:eastAsia="en-US"/>
        </w:rPr>
        <w:t xml:space="preserve">i stor grad </w:t>
      </w:r>
      <w:r w:rsidR="00764657" w:rsidRPr="00764657">
        <w:rPr>
          <w:rFonts w:ascii="Calibri" w:eastAsia="Calibri" w:hAnsi="Calibri"/>
          <w:sz w:val="22"/>
          <w:szCs w:val="22"/>
          <w:lang w:eastAsia="en-US"/>
        </w:rPr>
        <w:t xml:space="preserve">vil bli opprettholdt selv om det ikke er en indikator for publisering i finansieringssystemet. 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Vi </w:t>
      </w:r>
      <w:r w:rsidR="007C2DF0">
        <w:rPr>
          <w:rFonts w:ascii="Calibri" w:eastAsia="Calibri" w:hAnsi="Calibri"/>
          <w:sz w:val="22"/>
          <w:szCs w:val="22"/>
          <w:lang w:eastAsia="en-US"/>
        </w:rPr>
        <w:t xml:space="preserve">er likevel bekymret for at fjerning av indikatoren </w:t>
      </w:r>
      <w:r w:rsidRPr="00F4046E">
        <w:rPr>
          <w:rFonts w:ascii="Calibri" w:eastAsia="Calibri" w:hAnsi="Calibri"/>
          <w:sz w:val="22"/>
          <w:szCs w:val="22"/>
          <w:lang w:eastAsia="en-US"/>
        </w:rPr>
        <w:t>vil svekke publiseringen i de mer praksisorienterte og undervisningstunge enhetene i UH-systemet, på tross av utvalgets forutsetning om at rapportering skal videreføres. Vi mener publiseringsindikatoren er et nødvendig insentiv til å publisere i flere miljøer</w:t>
      </w:r>
      <w:r w:rsidR="005876EA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876EA">
        <w:rPr>
          <w:rFonts w:ascii="Calibri" w:eastAsia="Calibri" w:hAnsi="Calibri"/>
          <w:sz w:val="22"/>
          <w:szCs w:val="22"/>
          <w:lang w:eastAsia="en-US"/>
        </w:rPr>
        <w:t>Vi er</w:t>
      </w:r>
      <w:r w:rsidR="0047029D" w:rsidRPr="0047029D">
        <w:rPr>
          <w:rFonts w:ascii="Calibri" w:eastAsia="Calibri" w:hAnsi="Calibri"/>
          <w:sz w:val="22"/>
          <w:szCs w:val="22"/>
          <w:lang w:eastAsia="en-US"/>
        </w:rPr>
        <w:t xml:space="preserve"> urolige for kvaliteten i registreringene hvis publisering ikke gir uttelling i finansieringssystemet. En svekket kvalitet på publiseringsregistrering vil være svært negativt for hele forskningssektorens faglige synlighet og omdømme, ikke minst for internasjonalt samarbeid.</w:t>
      </w:r>
      <w:r w:rsidR="005876E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52B84">
        <w:rPr>
          <w:rFonts w:ascii="Calibri" w:eastAsia="Calibri" w:hAnsi="Calibri"/>
          <w:sz w:val="22"/>
          <w:szCs w:val="22"/>
          <w:lang w:eastAsia="en-US"/>
        </w:rPr>
        <w:t xml:space="preserve">For instituttenes del er det ønskelig å beholde publiseringsindikatoren 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fordi den er hensiktsmessig </w:t>
      </w:r>
      <w:r w:rsidR="0047546A">
        <w:rPr>
          <w:rFonts w:ascii="Calibri" w:eastAsia="Calibri" w:hAnsi="Calibri"/>
          <w:sz w:val="22"/>
          <w:szCs w:val="22"/>
          <w:lang w:eastAsia="en-US"/>
        </w:rPr>
        <w:t xml:space="preserve">for å synliggjøre forskningskvalitet 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og viktig for å skille institutter fra forskningstunge konsulenter. </w:t>
      </w:r>
    </w:p>
    <w:p w14:paraId="6604EF8D" w14:textId="35EAFD0E" w:rsidR="00F4046E" w:rsidRPr="00F4046E" w:rsidRDefault="00F4046E" w:rsidP="007C2DF0">
      <w:pPr>
        <w:numPr>
          <w:ilvl w:val="0"/>
          <w:numId w:val="33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F4046E">
        <w:rPr>
          <w:rFonts w:ascii="Calibri" w:eastAsia="Calibri" w:hAnsi="Calibri"/>
          <w:sz w:val="22"/>
          <w:szCs w:val="22"/>
          <w:lang w:eastAsia="en-US"/>
        </w:rPr>
        <w:t>Fjerne EU-indikatoren. Vi er redd det kan redusere norsk retur betydelig</w:t>
      </w:r>
      <w:r w:rsidR="0047546A">
        <w:rPr>
          <w:rFonts w:ascii="Calibri" w:eastAsia="Calibri" w:hAnsi="Calibri"/>
          <w:sz w:val="22"/>
          <w:szCs w:val="22"/>
          <w:lang w:eastAsia="en-US"/>
        </w:rPr>
        <w:t xml:space="preserve"> hvis denne blir fjernet</w:t>
      </w:r>
      <w:r w:rsidRPr="00F4046E">
        <w:rPr>
          <w:rFonts w:ascii="Calibri" w:eastAsia="Calibri" w:hAnsi="Calibri"/>
          <w:sz w:val="22"/>
          <w:szCs w:val="22"/>
          <w:lang w:eastAsia="en-US"/>
        </w:rPr>
        <w:t>. Det vil være et problem for Norge og for samarbeidet om de store felles</w:t>
      </w:r>
      <w:r w:rsidR="00AB3492">
        <w:rPr>
          <w:rFonts w:ascii="Calibri" w:eastAsia="Calibri" w:hAnsi="Calibri"/>
          <w:sz w:val="22"/>
          <w:szCs w:val="22"/>
          <w:lang w:eastAsia="en-US"/>
        </w:rPr>
        <w:t xml:space="preserve"> samfunns</w:t>
      </w:r>
      <w:r w:rsidRPr="00F4046E">
        <w:rPr>
          <w:rFonts w:ascii="Calibri" w:eastAsia="Calibri" w:hAnsi="Calibri"/>
          <w:sz w:val="22"/>
          <w:szCs w:val="22"/>
          <w:lang w:eastAsia="en-US"/>
        </w:rPr>
        <w:t>utfordringene. PES</w:t>
      </w:r>
      <w:r w:rsidR="00AB3492">
        <w:rPr>
          <w:rFonts w:ascii="Calibri" w:eastAsia="Calibri" w:hAnsi="Calibri"/>
          <w:sz w:val="22"/>
          <w:szCs w:val="22"/>
          <w:lang w:eastAsia="en-US"/>
        </w:rPr>
        <w:t xml:space="preserve">-midlene er </w:t>
      </w:r>
      <w:r w:rsidRPr="00F4046E">
        <w:rPr>
          <w:rFonts w:ascii="Calibri" w:eastAsia="Calibri" w:hAnsi="Calibri"/>
          <w:sz w:val="22"/>
          <w:szCs w:val="22"/>
          <w:lang w:eastAsia="en-US"/>
        </w:rPr>
        <w:t>svært begrenset</w:t>
      </w:r>
      <w:r w:rsidR="00AB3492">
        <w:rPr>
          <w:rFonts w:ascii="Calibri" w:eastAsia="Calibri" w:hAnsi="Calibri"/>
          <w:sz w:val="22"/>
          <w:szCs w:val="22"/>
          <w:lang w:eastAsia="en-US"/>
        </w:rPr>
        <w:t xml:space="preserve"> og vil ikke erstatte EU-indikatoren i </w:t>
      </w:r>
      <w:r w:rsidR="001475FE">
        <w:rPr>
          <w:rFonts w:ascii="Calibri" w:eastAsia="Calibri" w:hAnsi="Calibri"/>
          <w:sz w:val="22"/>
          <w:szCs w:val="22"/>
          <w:lang w:eastAsia="en-US"/>
        </w:rPr>
        <w:t>finansieringssystemet.</w:t>
      </w:r>
    </w:p>
    <w:p w14:paraId="6666DD32" w14:textId="21BE36A0" w:rsidR="00F4046E" w:rsidRPr="00F4046E" w:rsidRDefault="00F4046E" w:rsidP="00A12CBD">
      <w:pPr>
        <w:numPr>
          <w:ilvl w:val="0"/>
          <w:numId w:val="3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F4046E">
        <w:rPr>
          <w:rFonts w:ascii="Calibri" w:eastAsia="Calibri" w:hAnsi="Calibri"/>
          <w:sz w:val="22"/>
          <w:szCs w:val="22"/>
          <w:lang w:eastAsia="en-US"/>
        </w:rPr>
        <w:t>Regjeringen har tidligere signalisert at vi ikke kan vente vekst innen forskning. Hvis dette er tilfelle, må prioritering innen UH</w:t>
      </w:r>
      <w:r w:rsidR="001475FE">
        <w:rPr>
          <w:rFonts w:ascii="Calibri" w:eastAsia="Calibri" w:hAnsi="Calibri"/>
          <w:sz w:val="22"/>
          <w:szCs w:val="22"/>
          <w:lang w:eastAsia="en-US"/>
        </w:rPr>
        <w:t>-sektoren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 skje ved omfordeling innen den samlede rammebevilgningen til UH, basert på utviklingsavtalene. Vi vil fraråde at en forutsetter ytterligere budsjettøkning med friske midler eller </w:t>
      </w:r>
      <w:r w:rsidR="00703728">
        <w:rPr>
          <w:rFonts w:ascii="Calibri" w:eastAsia="Calibri" w:hAnsi="Calibri"/>
          <w:sz w:val="22"/>
          <w:szCs w:val="22"/>
          <w:lang w:eastAsia="en-US"/>
        </w:rPr>
        <w:t>at en foreslår å</w:t>
      </w:r>
      <w:r w:rsidR="005E56A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4046E">
        <w:rPr>
          <w:rFonts w:ascii="Calibri" w:eastAsia="Calibri" w:hAnsi="Calibri"/>
          <w:sz w:val="22"/>
          <w:szCs w:val="22"/>
          <w:lang w:eastAsia="en-US"/>
        </w:rPr>
        <w:t>redusere andre forskningsposter. UH har hatt en mye kraftigere vekst enn andre deler av FoU</w:t>
      </w:r>
      <w:r w:rsidR="00703728">
        <w:rPr>
          <w:rFonts w:ascii="Calibri" w:eastAsia="Calibri" w:hAnsi="Calibri"/>
          <w:sz w:val="22"/>
          <w:szCs w:val="22"/>
          <w:lang w:eastAsia="en-US"/>
        </w:rPr>
        <w:t xml:space="preserve">-sektoren </w:t>
      </w:r>
      <w:r w:rsidR="00AF0C0C">
        <w:rPr>
          <w:rFonts w:ascii="Calibri" w:eastAsia="Calibri" w:hAnsi="Calibri"/>
          <w:sz w:val="22"/>
          <w:szCs w:val="22"/>
          <w:lang w:eastAsia="en-US"/>
        </w:rPr>
        <w:t>som del av stats</w:t>
      </w:r>
      <w:r w:rsidRPr="00F4046E">
        <w:rPr>
          <w:rFonts w:ascii="Calibri" w:eastAsia="Calibri" w:hAnsi="Calibri"/>
          <w:sz w:val="22"/>
          <w:szCs w:val="22"/>
          <w:lang w:eastAsia="en-US"/>
        </w:rPr>
        <w:t>budsjettet og har allerede i dag den høyeste rammebevilgningsandelen i Europa.</w:t>
      </w:r>
      <w:r w:rsidR="00001117" w:rsidRPr="00001117">
        <w:t xml:space="preserve"> </w:t>
      </w:r>
      <w:r w:rsidR="00A57449">
        <w:rPr>
          <w:rFonts w:ascii="Calibri" w:eastAsia="Calibri" w:hAnsi="Calibri"/>
          <w:sz w:val="22"/>
          <w:szCs w:val="22"/>
          <w:lang w:eastAsia="en-US"/>
        </w:rPr>
        <w:t>Konsekvensen av ut</w:t>
      </w:r>
      <w:r w:rsidR="00001117">
        <w:rPr>
          <w:rFonts w:ascii="Calibri" w:eastAsia="Calibri" w:hAnsi="Calibri"/>
          <w:sz w:val="22"/>
          <w:szCs w:val="22"/>
          <w:lang w:eastAsia="en-US"/>
        </w:rPr>
        <w:t>valgets an</w:t>
      </w:r>
      <w:r w:rsidR="00001117" w:rsidRPr="00001117">
        <w:rPr>
          <w:rFonts w:ascii="Calibri" w:eastAsia="Calibri" w:hAnsi="Calibri"/>
          <w:sz w:val="22"/>
          <w:szCs w:val="22"/>
          <w:lang w:eastAsia="en-US"/>
        </w:rPr>
        <w:t>befalinge</w:t>
      </w:r>
      <w:r w:rsidR="00001117">
        <w:rPr>
          <w:rFonts w:ascii="Calibri" w:eastAsia="Calibri" w:hAnsi="Calibri"/>
          <w:sz w:val="22"/>
          <w:szCs w:val="22"/>
          <w:lang w:eastAsia="en-US"/>
        </w:rPr>
        <w:t>r</w:t>
      </w:r>
      <w:r w:rsidR="00001117" w:rsidRPr="0000111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57449">
        <w:rPr>
          <w:rFonts w:ascii="Calibri" w:eastAsia="Calibri" w:hAnsi="Calibri"/>
          <w:sz w:val="22"/>
          <w:szCs w:val="22"/>
          <w:lang w:eastAsia="en-US"/>
        </w:rPr>
        <w:t>vil være</w:t>
      </w:r>
      <w:r w:rsidR="00001117" w:rsidRPr="00001117">
        <w:rPr>
          <w:rFonts w:ascii="Calibri" w:eastAsia="Calibri" w:hAnsi="Calibri"/>
          <w:sz w:val="22"/>
          <w:szCs w:val="22"/>
          <w:lang w:eastAsia="en-US"/>
        </w:rPr>
        <w:t xml:space="preserve"> en svekkelse av budsjettene for </w:t>
      </w:r>
      <w:r w:rsidR="00A57449">
        <w:rPr>
          <w:rFonts w:ascii="Calibri" w:eastAsia="Calibri" w:hAnsi="Calibri"/>
          <w:sz w:val="22"/>
          <w:szCs w:val="22"/>
          <w:lang w:eastAsia="en-US"/>
        </w:rPr>
        <w:t>Forskningsrådet</w:t>
      </w:r>
      <w:r w:rsidR="00001117" w:rsidRPr="00001117">
        <w:rPr>
          <w:rFonts w:ascii="Calibri" w:eastAsia="Calibri" w:hAnsi="Calibri"/>
          <w:sz w:val="22"/>
          <w:szCs w:val="22"/>
          <w:lang w:eastAsia="en-US"/>
        </w:rPr>
        <w:t xml:space="preserve"> og/eller for instituttene.</w:t>
      </w:r>
      <w:r w:rsidR="00A57449">
        <w:rPr>
          <w:rFonts w:ascii="Calibri" w:eastAsia="Calibri" w:hAnsi="Calibri"/>
          <w:sz w:val="22"/>
          <w:szCs w:val="22"/>
          <w:lang w:eastAsia="en-US"/>
        </w:rPr>
        <w:t xml:space="preserve"> Det tror vi vil </w:t>
      </w:r>
      <w:r w:rsidR="00DF5C29">
        <w:rPr>
          <w:rFonts w:ascii="Calibri" w:eastAsia="Calibri" w:hAnsi="Calibri"/>
          <w:sz w:val="22"/>
          <w:szCs w:val="22"/>
          <w:lang w:eastAsia="en-US"/>
        </w:rPr>
        <w:t xml:space="preserve">være feil prioritering i en tid hvor forskningen må innrettes mot </w:t>
      </w:r>
      <w:r w:rsidR="00625779">
        <w:rPr>
          <w:rFonts w:ascii="Calibri" w:eastAsia="Calibri" w:hAnsi="Calibri"/>
          <w:sz w:val="22"/>
          <w:szCs w:val="22"/>
          <w:lang w:eastAsia="en-US"/>
        </w:rPr>
        <w:t xml:space="preserve">omstilling og løse </w:t>
      </w:r>
      <w:r w:rsidR="000861DC">
        <w:rPr>
          <w:rFonts w:ascii="Calibri" w:eastAsia="Calibri" w:hAnsi="Calibri"/>
          <w:sz w:val="22"/>
          <w:szCs w:val="22"/>
          <w:lang w:eastAsia="en-US"/>
        </w:rPr>
        <w:t>samfunnets utfordringer</w:t>
      </w:r>
      <w:r w:rsidR="00895386">
        <w:rPr>
          <w:rFonts w:ascii="Calibri" w:eastAsia="Calibri" w:hAnsi="Calibri"/>
          <w:sz w:val="22"/>
          <w:szCs w:val="22"/>
          <w:lang w:eastAsia="en-US"/>
        </w:rPr>
        <w:t xml:space="preserve">. Da må offentlige </w:t>
      </w:r>
      <w:r w:rsidR="00895386">
        <w:rPr>
          <w:rFonts w:ascii="Calibri" w:eastAsia="Calibri" w:hAnsi="Calibri"/>
          <w:sz w:val="22"/>
          <w:szCs w:val="22"/>
          <w:lang w:eastAsia="en-US"/>
        </w:rPr>
        <w:lastRenderedPageBreak/>
        <w:t>forskningsmidler gis retning</w:t>
      </w:r>
      <w:r w:rsidR="00625779">
        <w:rPr>
          <w:rFonts w:ascii="Calibri" w:eastAsia="Calibri" w:hAnsi="Calibri"/>
          <w:sz w:val="22"/>
          <w:szCs w:val="22"/>
          <w:lang w:eastAsia="en-US"/>
        </w:rPr>
        <w:t xml:space="preserve"> mot samfunnsutfordringer</w:t>
      </w:r>
      <w:r w:rsidR="00895386">
        <w:rPr>
          <w:rFonts w:ascii="Calibri" w:eastAsia="Calibri" w:hAnsi="Calibri"/>
          <w:sz w:val="22"/>
          <w:szCs w:val="22"/>
          <w:lang w:eastAsia="en-US"/>
        </w:rPr>
        <w:t xml:space="preserve"> og de må utløs</w:t>
      </w:r>
      <w:r w:rsidR="00E41897">
        <w:rPr>
          <w:rFonts w:ascii="Calibri" w:eastAsia="Calibri" w:hAnsi="Calibri"/>
          <w:sz w:val="22"/>
          <w:szCs w:val="22"/>
          <w:lang w:eastAsia="en-US"/>
        </w:rPr>
        <w:t xml:space="preserve">e forskningssamarbeid og </w:t>
      </w:r>
      <w:r w:rsidR="00BF2739">
        <w:rPr>
          <w:rFonts w:ascii="Calibri" w:eastAsia="Calibri" w:hAnsi="Calibri"/>
          <w:sz w:val="22"/>
          <w:szCs w:val="22"/>
          <w:lang w:eastAsia="en-US"/>
        </w:rPr>
        <w:t>-finansiering</w:t>
      </w:r>
      <w:r w:rsidR="00E41897">
        <w:rPr>
          <w:rFonts w:ascii="Calibri" w:eastAsia="Calibri" w:hAnsi="Calibri"/>
          <w:sz w:val="22"/>
          <w:szCs w:val="22"/>
          <w:lang w:eastAsia="en-US"/>
        </w:rPr>
        <w:t xml:space="preserve"> fra næringslivet og fra EUs rammeprogram</w:t>
      </w:r>
      <w:r w:rsidR="00BF2739">
        <w:rPr>
          <w:rFonts w:ascii="Calibri" w:eastAsia="Calibri" w:hAnsi="Calibri"/>
          <w:sz w:val="22"/>
          <w:szCs w:val="22"/>
          <w:lang w:eastAsia="en-US"/>
        </w:rPr>
        <w:t>.</w:t>
      </w:r>
      <w:r w:rsidR="00DD1B27">
        <w:rPr>
          <w:rFonts w:ascii="Calibri" w:eastAsia="Calibri" w:hAnsi="Calibri"/>
          <w:sz w:val="22"/>
          <w:szCs w:val="22"/>
          <w:lang w:eastAsia="en-US"/>
        </w:rPr>
        <w:t xml:space="preserve"> Det gjøres mest effektivt gjennom </w:t>
      </w:r>
      <w:r w:rsidR="00212A1D">
        <w:rPr>
          <w:rFonts w:ascii="Calibri" w:eastAsia="Calibri" w:hAnsi="Calibri"/>
          <w:sz w:val="22"/>
          <w:szCs w:val="22"/>
          <w:lang w:eastAsia="en-US"/>
        </w:rPr>
        <w:t xml:space="preserve">utlysning av forskningsmidler </w:t>
      </w:r>
      <w:r w:rsidR="00DD1B27">
        <w:rPr>
          <w:rFonts w:ascii="Calibri" w:eastAsia="Calibri" w:hAnsi="Calibri"/>
          <w:sz w:val="22"/>
          <w:szCs w:val="22"/>
          <w:lang w:eastAsia="en-US"/>
        </w:rPr>
        <w:t xml:space="preserve">i Forskningsrådet og </w:t>
      </w:r>
      <w:r w:rsidR="00625779">
        <w:rPr>
          <w:rFonts w:ascii="Calibri" w:eastAsia="Calibri" w:hAnsi="Calibri"/>
          <w:sz w:val="22"/>
          <w:szCs w:val="22"/>
          <w:lang w:eastAsia="en-US"/>
        </w:rPr>
        <w:t xml:space="preserve">deltagelse i </w:t>
      </w:r>
      <w:r w:rsidR="00DD1B27">
        <w:rPr>
          <w:rFonts w:ascii="Calibri" w:eastAsia="Calibri" w:hAnsi="Calibri"/>
          <w:sz w:val="22"/>
          <w:szCs w:val="22"/>
          <w:lang w:eastAsia="en-US"/>
        </w:rPr>
        <w:t>E</w:t>
      </w:r>
      <w:r w:rsidR="00212A1D">
        <w:rPr>
          <w:rFonts w:ascii="Calibri" w:eastAsia="Calibri" w:hAnsi="Calibri"/>
          <w:sz w:val="22"/>
          <w:szCs w:val="22"/>
          <w:lang w:eastAsia="en-US"/>
        </w:rPr>
        <w:t>Us rammeprogram Horisont Europa.</w:t>
      </w:r>
    </w:p>
    <w:p w14:paraId="0E3F89F8" w14:textId="77777777" w:rsidR="00042753" w:rsidRDefault="00042753" w:rsidP="00A12CBD">
      <w:pPr>
        <w:spacing w:line="276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</w:p>
    <w:p w14:paraId="1340B35D" w14:textId="0DC9925B" w:rsidR="00F4046E" w:rsidRPr="00F4046E" w:rsidRDefault="00A12CBD" w:rsidP="00A12CBD">
      <w:pPr>
        <w:spacing w:line="276" w:lineRule="auto"/>
        <w:rPr>
          <w:rFonts w:ascii="Calibri" w:eastAsia="Calibri" w:hAnsi="Calibri"/>
          <w:i/>
          <w:iCs/>
          <w:sz w:val="22"/>
          <w:szCs w:val="22"/>
          <w:lang w:eastAsia="en-US"/>
        </w:rPr>
      </w:pPr>
      <w:r>
        <w:rPr>
          <w:rFonts w:ascii="Calibri" w:eastAsia="Calibri" w:hAnsi="Calibri"/>
          <w:i/>
          <w:iCs/>
          <w:sz w:val="22"/>
          <w:szCs w:val="22"/>
          <w:lang w:eastAsia="en-US"/>
        </w:rPr>
        <w:t xml:space="preserve">FFA </w:t>
      </w:r>
      <w:r w:rsidR="00F4046E" w:rsidRPr="00F4046E">
        <w:rPr>
          <w:rFonts w:ascii="Calibri" w:eastAsia="Calibri" w:hAnsi="Calibri"/>
          <w:i/>
          <w:iCs/>
          <w:sz w:val="22"/>
          <w:szCs w:val="22"/>
          <w:lang w:eastAsia="en-US"/>
        </w:rPr>
        <w:t>merker oss at:</w:t>
      </w:r>
    </w:p>
    <w:p w14:paraId="342DB55A" w14:textId="79014FC0" w:rsidR="00F4046E" w:rsidRPr="00F4046E" w:rsidRDefault="00F4046E" w:rsidP="00A12CBD">
      <w:pPr>
        <w:numPr>
          <w:ilvl w:val="0"/>
          <w:numId w:val="33"/>
        </w:num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Utvalgets anbefaling om å fjerne publiseringsindikatoren og EU-finansieringsindikatoren fra lukket ramme, </w:t>
      </w:r>
      <w:r w:rsidR="007805E6">
        <w:rPr>
          <w:rFonts w:ascii="Calibri" w:eastAsia="Calibri" w:hAnsi="Calibri"/>
          <w:sz w:val="22"/>
          <w:szCs w:val="22"/>
          <w:lang w:eastAsia="en-US"/>
        </w:rPr>
        <w:t xml:space="preserve">forutsetter </w:t>
      </w:r>
      <w:r w:rsidRPr="00F4046E">
        <w:rPr>
          <w:rFonts w:ascii="Calibri" w:eastAsia="Calibri" w:hAnsi="Calibri"/>
          <w:sz w:val="22"/>
          <w:szCs w:val="22"/>
          <w:lang w:eastAsia="en-US"/>
        </w:rPr>
        <w:t>at gjeldende budsjettramme videreføres</w:t>
      </w:r>
      <w:r w:rsidR="0008534F">
        <w:rPr>
          <w:rFonts w:ascii="Calibri" w:eastAsia="Calibri" w:hAnsi="Calibri"/>
          <w:sz w:val="22"/>
          <w:szCs w:val="22"/>
          <w:lang w:eastAsia="en-US"/>
        </w:rPr>
        <w:t xml:space="preserve"> ved at de gjenværende indikatorene i åpen ramme gis tyngre vekt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. Vi stiller spørsmål ved om ikke </w:t>
      </w:r>
      <w:r w:rsidR="0008534F">
        <w:rPr>
          <w:rFonts w:ascii="Calibri" w:eastAsia="Calibri" w:hAnsi="Calibri"/>
          <w:sz w:val="22"/>
          <w:szCs w:val="22"/>
          <w:lang w:eastAsia="en-US"/>
        </w:rPr>
        <w:t xml:space="preserve">midlene som i dag ligger i lukket ramme </w:t>
      </w:r>
      <w:r w:rsidRPr="00F4046E">
        <w:rPr>
          <w:rFonts w:ascii="Calibri" w:eastAsia="Calibri" w:hAnsi="Calibri"/>
          <w:sz w:val="22"/>
          <w:szCs w:val="22"/>
          <w:lang w:eastAsia="en-US"/>
        </w:rPr>
        <w:t>bør inngå i en omfordeling gjennom utviklingsavtalene</w:t>
      </w:r>
      <w:r w:rsidR="0008534F">
        <w:rPr>
          <w:rFonts w:ascii="Calibri" w:eastAsia="Calibri" w:hAnsi="Calibri"/>
          <w:sz w:val="22"/>
          <w:szCs w:val="22"/>
          <w:lang w:eastAsia="en-US"/>
        </w:rPr>
        <w:t xml:space="preserve">. Slik vil </w:t>
      </w:r>
      <w:r w:rsidR="00272001">
        <w:rPr>
          <w:rFonts w:ascii="Calibri" w:eastAsia="Calibri" w:hAnsi="Calibri"/>
          <w:sz w:val="22"/>
          <w:szCs w:val="22"/>
          <w:lang w:eastAsia="en-US"/>
        </w:rPr>
        <w:t xml:space="preserve">de tilpasses profil og strategi i </w:t>
      </w:r>
      <w:r w:rsidRPr="00F4046E">
        <w:rPr>
          <w:rFonts w:ascii="Calibri" w:eastAsia="Calibri" w:hAnsi="Calibri"/>
          <w:sz w:val="22"/>
          <w:szCs w:val="22"/>
          <w:lang w:eastAsia="en-US"/>
        </w:rPr>
        <w:t>den enkelte institusjon</w:t>
      </w:r>
      <w:r w:rsidR="00272001">
        <w:rPr>
          <w:rFonts w:ascii="Calibri" w:eastAsia="Calibri" w:hAnsi="Calibri"/>
          <w:sz w:val="22"/>
          <w:szCs w:val="22"/>
          <w:lang w:eastAsia="en-US"/>
        </w:rPr>
        <w:t xml:space="preserve">. Dette vil også være i </w:t>
      </w:r>
      <w:r w:rsidR="00366E35">
        <w:rPr>
          <w:rFonts w:ascii="Calibri" w:eastAsia="Calibri" w:hAnsi="Calibri"/>
          <w:sz w:val="22"/>
          <w:szCs w:val="22"/>
          <w:lang w:eastAsia="en-US"/>
        </w:rPr>
        <w:t>sa</w:t>
      </w:r>
      <w:r w:rsidR="00272001">
        <w:rPr>
          <w:rFonts w:ascii="Calibri" w:eastAsia="Calibri" w:hAnsi="Calibri"/>
          <w:sz w:val="22"/>
          <w:szCs w:val="22"/>
          <w:lang w:eastAsia="en-US"/>
        </w:rPr>
        <w:t xml:space="preserve">msvar med </w:t>
      </w:r>
      <w:r w:rsidRPr="00F4046E">
        <w:rPr>
          <w:rFonts w:ascii="Calibri" w:eastAsia="Calibri" w:hAnsi="Calibri"/>
          <w:sz w:val="22"/>
          <w:szCs w:val="22"/>
          <w:lang w:eastAsia="en-US"/>
        </w:rPr>
        <w:t>utvalgets forutsetning om at aktiviteten videreføres uten resultatindikatoren.</w:t>
      </w:r>
    </w:p>
    <w:p w14:paraId="58930ADF" w14:textId="05B8B602" w:rsidR="00F4046E" w:rsidRDefault="00F4046E" w:rsidP="00F4046E">
      <w:pPr>
        <w:numPr>
          <w:ilvl w:val="0"/>
          <w:numId w:val="33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F4046E">
        <w:rPr>
          <w:rFonts w:ascii="Calibri" w:eastAsia="Calibri" w:hAnsi="Calibri"/>
          <w:sz w:val="22"/>
          <w:szCs w:val="22"/>
          <w:lang w:eastAsia="en-US"/>
        </w:rPr>
        <w:t>Utvalget drøfter en mulig forskyvning mellom rammebevilgningen til UH og NFRs bevilgning og argumenterer for økt forskningskvalitet og -effektivitet ved å kanalisere forskningsmidler gjennom NFR, men konkluderer likevel med ikke å endre på forholdet. Utvalget påpeker at en slik forskyvning også kan påvirke balansen mellom UH og institutter. I denne drøftingen ser en bort fra at det har vært en betydelig endring i denne balansen fra 2016</w:t>
      </w:r>
      <w:r w:rsidR="004E509D">
        <w:rPr>
          <w:rFonts w:ascii="Calibri" w:eastAsia="Calibri" w:hAnsi="Calibri"/>
          <w:sz w:val="22"/>
          <w:szCs w:val="22"/>
          <w:lang w:eastAsia="en-US"/>
        </w:rPr>
        <w:t xml:space="preserve"> til i dag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 ved at UH har fått vesentlig vekst i si</w:t>
      </w:r>
      <w:r w:rsidR="00782DFD">
        <w:rPr>
          <w:rFonts w:ascii="Calibri" w:eastAsia="Calibri" w:hAnsi="Calibri"/>
          <w:sz w:val="22"/>
          <w:szCs w:val="22"/>
          <w:lang w:eastAsia="en-US"/>
        </w:rPr>
        <w:t>ne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 budsjett</w:t>
      </w:r>
      <w:r w:rsidR="00782DFD">
        <w:rPr>
          <w:rFonts w:ascii="Calibri" w:eastAsia="Calibri" w:hAnsi="Calibri"/>
          <w:sz w:val="22"/>
          <w:szCs w:val="22"/>
          <w:lang w:eastAsia="en-US"/>
        </w:rPr>
        <w:t>er</w:t>
      </w:r>
      <w:r w:rsidR="003A5435">
        <w:rPr>
          <w:rFonts w:ascii="Calibri" w:eastAsia="Calibri" w:hAnsi="Calibri"/>
          <w:sz w:val="22"/>
          <w:szCs w:val="22"/>
          <w:lang w:eastAsia="en-US"/>
        </w:rPr>
        <w:t xml:space="preserve"> (28%</w:t>
      </w:r>
      <w:r w:rsidR="002F3248">
        <w:rPr>
          <w:rFonts w:ascii="Calibri" w:eastAsia="Calibri" w:hAnsi="Calibri"/>
          <w:sz w:val="22"/>
          <w:szCs w:val="22"/>
          <w:lang w:eastAsia="en-US"/>
        </w:rPr>
        <w:t xml:space="preserve"> budsjettvekst</w:t>
      </w:r>
      <w:r w:rsidR="003A5435">
        <w:rPr>
          <w:rFonts w:ascii="Calibri" w:eastAsia="Calibri" w:hAnsi="Calibri"/>
          <w:sz w:val="22"/>
          <w:szCs w:val="22"/>
          <w:lang w:eastAsia="en-US"/>
        </w:rPr>
        <w:t xml:space="preserve"> mot 8% vekst i studieplasser)</w:t>
      </w:r>
      <w:r w:rsidR="002F3248">
        <w:rPr>
          <w:rFonts w:ascii="Calibri" w:eastAsia="Calibri" w:hAnsi="Calibri"/>
          <w:sz w:val="22"/>
          <w:szCs w:val="22"/>
          <w:lang w:eastAsia="en-US"/>
        </w:rPr>
        <w:t>. UH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 har</w:t>
      </w:r>
      <w:r w:rsidR="002F324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økt søkekapasiteten </w:t>
      </w:r>
      <w:r w:rsidR="00782DFD">
        <w:rPr>
          <w:rFonts w:ascii="Calibri" w:eastAsia="Calibri" w:hAnsi="Calibri"/>
          <w:sz w:val="22"/>
          <w:szCs w:val="22"/>
          <w:lang w:eastAsia="en-US"/>
        </w:rPr>
        <w:t xml:space="preserve">til NFR </w:t>
      </w:r>
      <w:r w:rsidRPr="00F4046E">
        <w:rPr>
          <w:rFonts w:ascii="Calibri" w:eastAsia="Calibri" w:hAnsi="Calibri"/>
          <w:sz w:val="22"/>
          <w:szCs w:val="22"/>
          <w:lang w:eastAsia="en-US"/>
        </w:rPr>
        <w:t>og bidrar</w:t>
      </w:r>
      <w:r w:rsidR="002F3248">
        <w:rPr>
          <w:rFonts w:ascii="Calibri" w:eastAsia="Calibri" w:hAnsi="Calibri"/>
          <w:sz w:val="22"/>
          <w:szCs w:val="22"/>
          <w:lang w:eastAsia="en-US"/>
        </w:rPr>
        <w:t xml:space="preserve"> dermed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 til lavere tilslagsprosent </w:t>
      </w:r>
      <w:r w:rsidR="00782DFD">
        <w:rPr>
          <w:rFonts w:ascii="Calibri" w:eastAsia="Calibri" w:hAnsi="Calibri"/>
          <w:sz w:val="22"/>
          <w:szCs w:val="22"/>
          <w:lang w:eastAsia="en-US"/>
        </w:rPr>
        <w:t>for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 NFR</w:t>
      </w:r>
      <w:r w:rsidR="00782DFD">
        <w:rPr>
          <w:rFonts w:ascii="Calibri" w:eastAsia="Calibri" w:hAnsi="Calibri"/>
          <w:sz w:val="22"/>
          <w:szCs w:val="22"/>
          <w:lang w:eastAsia="en-US"/>
        </w:rPr>
        <w:t>-</w:t>
      </w:r>
      <w:r w:rsidRPr="00F4046E">
        <w:rPr>
          <w:rFonts w:ascii="Calibri" w:eastAsia="Calibri" w:hAnsi="Calibri"/>
          <w:sz w:val="22"/>
          <w:szCs w:val="22"/>
          <w:lang w:eastAsia="en-US"/>
        </w:rPr>
        <w:t>søknader for alle</w:t>
      </w:r>
      <w:r w:rsidR="00782DFD">
        <w:rPr>
          <w:rFonts w:ascii="Calibri" w:eastAsia="Calibri" w:hAnsi="Calibri"/>
          <w:sz w:val="22"/>
          <w:szCs w:val="22"/>
          <w:lang w:eastAsia="en-US"/>
        </w:rPr>
        <w:t>. En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 større andel av NFR bevilgning går </w:t>
      </w:r>
      <w:r w:rsidR="00676006">
        <w:rPr>
          <w:rFonts w:ascii="Calibri" w:eastAsia="Calibri" w:hAnsi="Calibri"/>
          <w:sz w:val="22"/>
          <w:szCs w:val="22"/>
          <w:lang w:eastAsia="en-US"/>
        </w:rPr>
        <w:t>nå</w:t>
      </w:r>
      <w:r w:rsidR="00782DF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4046E">
        <w:rPr>
          <w:rFonts w:ascii="Calibri" w:eastAsia="Calibri" w:hAnsi="Calibri"/>
          <w:sz w:val="22"/>
          <w:szCs w:val="22"/>
          <w:lang w:eastAsia="en-US"/>
        </w:rPr>
        <w:t>til UH</w:t>
      </w:r>
      <w:r w:rsidR="00782DFD">
        <w:rPr>
          <w:rFonts w:ascii="Calibri" w:eastAsia="Calibri" w:hAnsi="Calibri"/>
          <w:sz w:val="22"/>
          <w:szCs w:val="22"/>
          <w:lang w:eastAsia="en-US"/>
        </w:rPr>
        <w:t>-institusjoner.</w:t>
      </w:r>
    </w:p>
    <w:p w14:paraId="31C9445A" w14:textId="13307227" w:rsidR="00E00730" w:rsidRPr="00F4230E" w:rsidRDefault="00E00730" w:rsidP="006E283B">
      <w:pPr>
        <w:pStyle w:val="Listeavsnitt"/>
        <w:numPr>
          <w:ilvl w:val="0"/>
          <w:numId w:val="33"/>
        </w:numPr>
        <w:spacing w:after="160" w:line="259" w:lineRule="auto"/>
        <w:contextualSpacing/>
        <w:rPr>
          <w:rFonts w:eastAsia="Calibri"/>
        </w:rPr>
      </w:pPr>
      <w:r w:rsidRPr="00F4230E">
        <w:rPr>
          <w:rFonts w:eastAsia="Calibri"/>
        </w:rPr>
        <w:t xml:space="preserve">Utvalget adresserer </w:t>
      </w:r>
      <w:r w:rsidR="000C3851" w:rsidRPr="00F4230E">
        <w:rPr>
          <w:rFonts w:eastAsia="Calibri"/>
        </w:rPr>
        <w:t xml:space="preserve">ikke det faktum </w:t>
      </w:r>
      <w:r w:rsidRPr="00F4230E">
        <w:rPr>
          <w:rFonts w:eastAsia="Calibri"/>
        </w:rPr>
        <w:t>at UH-sektoren</w:t>
      </w:r>
      <w:r w:rsidR="00962BBE">
        <w:rPr>
          <w:rFonts w:eastAsia="Calibri"/>
        </w:rPr>
        <w:t>s finansieringssystem</w:t>
      </w:r>
      <w:r w:rsidRPr="00F4230E">
        <w:rPr>
          <w:rFonts w:eastAsia="Calibri"/>
        </w:rPr>
        <w:t xml:space="preserve"> mangler en kapasitetsregulerende mekanisme (ut over "faste midlertidige stillinger")</w:t>
      </w:r>
      <w:r w:rsidR="00962BBE">
        <w:rPr>
          <w:rFonts w:eastAsia="Calibri"/>
        </w:rPr>
        <w:t>, i motsetning til</w:t>
      </w:r>
      <w:r w:rsidR="00075A2D">
        <w:rPr>
          <w:rFonts w:eastAsia="Calibri"/>
        </w:rPr>
        <w:t xml:space="preserve"> andre forskningsutførende sektorer. Dette</w:t>
      </w:r>
      <w:r w:rsidR="00272C50">
        <w:rPr>
          <w:rFonts w:eastAsia="Calibri"/>
        </w:rPr>
        <w:t xml:space="preserve"> </w:t>
      </w:r>
      <w:r w:rsidR="002C54B1">
        <w:rPr>
          <w:rFonts w:eastAsia="Calibri"/>
        </w:rPr>
        <w:t xml:space="preserve">trekket </w:t>
      </w:r>
      <w:r w:rsidR="00272C50">
        <w:rPr>
          <w:rFonts w:eastAsia="Calibri"/>
        </w:rPr>
        <w:t>deler UH-sektoren med andre offentlige sektorer</w:t>
      </w:r>
      <w:r w:rsidR="002C54B1">
        <w:rPr>
          <w:rFonts w:eastAsia="Calibri"/>
        </w:rPr>
        <w:t xml:space="preserve">, som beskrives i </w:t>
      </w:r>
      <w:r w:rsidR="009478E9">
        <w:rPr>
          <w:rFonts w:eastAsia="Calibri"/>
        </w:rPr>
        <w:t>NOU 2020:15 som at en</w:t>
      </w:r>
      <w:r w:rsidR="00272C50">
        <w:rPr>
          <w:rFonts w:eastAsia="Calibri"/>
        </w:rPr>
        <w:t xml:space="preserve"> har innebygde mekanismer for vekst</w:t>
      </w:r>
      <w:r w:rsidR="009478E9">
        <w:rPr>
          <w:rFonts w:eastAsia="Calibri"/>
        </w:rPr>
        <w:t>, men ikke</w:t>
      </w:r>
      <w:r w:rsidR="00272C50">
        <w:rPr>
          <w:rFonts w:eastAsia="Calibri"/>
        </w:rPr>
        <w:t xml:space="preserve"> for reduksjon el</w:t>
      </w:r>
      <w:r w:rsidR="00257222">
        <w:rPr>
          <w:rFonts w:eastAsia="Calibri"/>
        </w:rPr>
        <w:t>ler for omfor</w:t>
      </w:r>
      <w:r w:rsidR="00D601B6">
        <w:rPr>
          <w:rFonts w:eastAsia="Calibri"/>
        </w:rPr>
        <w:t>deling av kapasitet.</w:t>
      </w:r>
    </w:p>
    <w:p w14:paraId="1C14EA4D" w14:textId="1CA7F2AE" w:rsidR="00F4046E" w:rsidRDefault="00F4046E" w:rsidP="00F4046E">
      <w:pPr>
        <w:numPr>
          <w:ilvl w:val="0"/>
          <w:numId w:val="33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F4046E">
        <w:rPr>
          <w:rFonts w:ascii="Calibri" w:eastAsia="Calibri" w:hAnsi="Calibri"/>
          <w:sz w:val="22"/>
          <w:szCs w:val="22"/>
          <w:lang w:eastAsia="en-US"/>
        </w:rPr>
        <w:t>Utvalget mener at resultatindikatorer bidrar til likhet</w:t>
      </w:r>
      <w:r w:rsidR="00497E57">
        <w:rPr>
          <w:rFonts w:ascii="Calibri" w:eastAsia="Calibri" w:hAnsi="Calibri"/>
          <w:sz w:val="22"/>
          <w:szCs w:val="22"/>
          <w:lang w:eastAsia="en-US"/>
        </w:rPr>
        <w:t xml:space="preserve"> mellom institusjoner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 i sektoren og </w:t>
      </w:r>
      <w:r w:rsidR="00497E57">
        <w:rPr>
          <w:rFonts w:ascii="Calibri" w:eastAsia="Calibri" w:hAnsi="Calibri"/>
          <w:sz w:val="22"/>
          <w:szCs w:val="22"/>
          <w:lang w:eastAsia="en-US"/>
        </w:rPr>
        <w:t>til at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 en fokuserer bare på det som kan telles. I en nylig gjennomgang av instituttene</w:t>
      </w:r>
      <w:r w:rsidR="00497E57">
        <w:rPr>
          <w:rFonts w:ascii="Calibri" w:eastAsia="Calibri" w:hAnsi="Calibri"/>
          <w:sz w:val="22"/>
          <w:szCs w:val="22"/>
          <w:lang w:eastAsia="en-US"/>
        </w:rPr>
        <w:t>s modell for grunnfinansiering,</w:t>
      </w:r>
      <w:r w:rsidR="00EA4FE7">
        <w:rPr>
          <w:rFonts w:ascii="Calibri" w:eastAsia="Calibri" w:hAnsi="Calibri"/>
          <w:sz w:val="22"/>
          <w:szCs w:val="22"/>
          <w:lang w:eastAsia="en-US"/>
        </w:rPr>
        <w:t xml:space="preserve"> kom en til motsatt konklusjon</w:t>
      </w:r>
      <w:r w:rsidR="007A1F23">
        <w:rPr>
          <w:rFonts w:ascii="Calibri" w:eastAsia="Calibri" w:hAnsi="Calibri"/>
          <w:sz w:val="22"/>
          <w:szCs w:val="22"/>
          <w:lang w:eastAsia="en-US"/>
        </w:rPr>
        <w:t>, d</w:t>
      </w:r>
      <w:r w:rsidR="00497E57">
        <w:rPr>
          <w:rFonts w:ascii="Calibri" w:eastAsia="Calibri" w:hAnsi="Calibri"/>
          <w:sz w:val="22"/>
          <w:szCs w:val="22"/>
          <w:lang w:eastAsia="en-US"/>
        </w:rPr>
        <w:t>vs</w:t>
      </w:r>
      <w:r w:rsidR="00DD5F53">
        <w:rPr>
          <w:rFonts w:ascii="Calibri" w:eastAsia="Calibri" w:hAnsi="Calibri"/>
          <w:sz w:val="22"/>
          <w:szCs w:val="22"/>
          <w:lang w:eastAsia="en-US"/>
        </w:rPr>
        <w:t>.</w:t>
      </w:r>
      <w:r w:rsidR="00EA4FE7">
        <w:rPr>
          <w:rFonts w:ascii="Calibri" w:eastAsia="Calibri" w:hAnsi="Calibri"/>
          <w:sz w:val="22"/>
          <w:szCs w:val="22"/>
          <w:lang w:eastAsia="en-US"/>
        </w:rPr>
        <w:t xml:space="preserve"> at </w:t>
      </w:r>
      <w:r w:rsidR="002C514D">
        <w:rPr>
          <w:rFonts w:ascii="Calibri" w:eastAsia="Calibri" w:hAnsi="Calibri"/>
          <w:sz w:val="22"/>
          <w:szCs w:val="22"/>
          <w:lang w:eastAsia="en-US"/>
        </w:rPr>
        <w:t>resultat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indikatorer bidrar til mangfold ved at instituttene retter seg mot ulike indikatorer og at </w:t>
      </w:r>
      <w:r w:rsidR="002C514D">
        <w:rPr>
          <w:rFonts w:ascii="Calibri" w:eastAsia="Calibri" w:hAnsi="Calibri"/>
          <w:sz w:val="22"/>
          <w:szCs w:val="22"/>
          <w:lang w:eastAsia="en-US"/>
        </w:rPr>
        <w:t>instituttene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00730">
        <w:rPr>
          <w:rFonts w:ascii="Calibri" w:eastAsia="Calibri" w:hAnsi="Calibri"/>
          <w:sz w:val="22"/>
          <w:szCs w:val="22"/>
          <w:lang w:eastAsia="en-US"/>
        </w:rPr>
        <w:t xml:space="preserve">samtidig </w:t>
      </w:r>
      <w:r w:rsidRPr="00F4046E">
        <w:rPr>
          <w:rFonts w:ascii="Calibri" w:eastAsia="Calibri" w:hAnsi="Calibri"/>
          <w:sz w:val="22"/>
          <w:szCs w:val="22"/>
          <w:lang w:eastAsia="en-US"/>
        </w:rPr>
        <w:t xml:space="preserve">følger opp målsetninger som ikke gir uttelling.  </w:t>
      </w:r>
      <w:r w:rsidR="007A1F23">
        <w:rPr>
          <w:rFonts w:ascii="Calibri" w:eastAsia="Calibri" w:hAnsi="Calibri"/>
          <w:sz w:val="22"/>
          <w:szCs w:val="22"/>
          <w:lang w:eastAsia="en-US"/>
        </w:rPr>
        <w:t>Hvis utvalgets anbefaling følges, vil de to sektorene</w:t>
      </w:r>
      <w:r w:rsidR="00837333">
        <w:rPr>
          <w:rFonts w:ascii="Calibri" w:eastAsia="Calibri" w:hAnsi="Calibri"/>
          <w:sz w:val="22"/>
          <w:szCs w:val="22"/>
          <w:lang w:eastAsia="en-US"/>
        </w:rPr>
        <w:t>s finansieringsmodeller vært basert på to ulike rasjonal</w:t>
      </w:r>
      <w:r w:rsidR="003B4E03">
        <w:rPr>
          <w:rFonts w:ascii="Calibri" w:eastAsia="Calibri" w:hAnsi="Calibri"/>
          <w:sz w:val="22"/>
          <w:szCs w:val="22"/>
          <w:lang w:eastAsia="en-US"/>
        </w:rPr>
        <w:t xml:space="preserve">e. Det </w:t>
      </w:r>
      <w:r w:rsidR="00582FBF">
        <w:rPr>
          <w:rFonts w:ascii="Calibri" w:eastAsia="Calibri" w:hAnsi="Calibri"/>
          <w:sz w:val="22"/>
          <w:szCs w:val="22"/>
          <w:lang w:eastAsia="en-US"/>
        </w:rPr>
        <w:t>peker i retning av behov for en konsekvensvurdering av anbefalingene.</w:t>
      </w:r>
    </w:p>
    <w:p w14:paraId="696D44EA" w14:textId="77777777" w:rsidR="00F4046E" w:rsidRPr="00F4046E" w:rsidRDefault="00F4046E" w:rsidP="00F4046E">
      <w:pPr>
        <w:spacing w:line="264" w:lineRule="auto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1FF9C703" w14:textId="77777777" w:rsidR="00F4046E" w:rsidRPr="00F4046E" w:rsidRDefault="00F4046E" w:rsidP="00F4046E">
      <w:pPr>
        <w:spacing w:line="264" w:lineRule="auto"/>
        <w:rPr>
          <w:rFonts w:ascii="Calibri" w:eastAsia="Calibri" w:hAnsi="Calibri"/>
          <w:bCs/>
          <w:i/>
          <w:iCs/>
          <w:sz w:val="22"/>
          <w:szCs w:val="22"/>
          <w:lang w:eastAsia="en-US"/>
        </w:rPr>
      </w:pPr>
      <w:r w:rsidRPr="00F4046E">
        <w:rPr>
          <w:rFonts w:ascii="Calibri" w:eastAsia="Calibri" w:hAnsi="Calibri"/>
          <w:bCs/>
          <w:i/>
          <w:iCs/>
          <w:sz w:val="22"/>
          <w:szCs w:val="22"/>
          <w:lang w:eastAsia="en-US"/>
        </w:rPr>
        <w:t>Konsekvensvurdering for å unngå utilsiktede effekter i andre forskningsutførende sektorer</w:t>
      </w:r>
    </w:p>
    <w:p w14:paraId="6559A77D" w14:textId="2C178076" w:rsidR="00CD123E" w:rsidRPr="00F4046E" w:rsidRDefault="00CD123E" w:rsidP="00CD123E">
      <w:pPr>
        <w:spacing w:line="264" w:lineRule="auto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Ekspertutvalgets m</w:t>
      </w:r>
      <w:r w:rsidRPr="00F4046E">
        <w:rPr>
          <w:rFonts w:ascii="Calibri" w:eastAsia="Calibri" w:hAnsi="Calibri"/>
          <w:bCs/>
          <w:sz w:val="22"/>
          <w:szCs w:val="22"/>
          <w:lang w:eastAsia="en-US"/>
        </w:rPr>
        <w:t>andat har ett pkt</w:t>
      </w:r>
      <w:r w:rsidR="00DD5F53">
        <w:rPr>
          <w:rFonts w:ascii="Calibri" w:eastAsia="Calibri" w:hAnsi="Calibri"/>
          <w:bCs/>
          <w:sz w:val="22"/>
          <w:szCs w:val="22"/>
          <w:lang w:eastAsia="en-US"/>
        </w:rPr>
        <w:t>.</w:t>
      </w:r>
      <w:r w:rsidRPr="00F4046E">
        <w:rPr>
          <w:rFonts w:ascii="Calibri" w:eastAsia="Calibri" w:hAnsi="Calibri"/>
          <w:bCs/>
          <w:sz w:val="22"/>
          <w:szCs w:val="22"/>
          <w:lang w:eastAsia="en-US"/>
        </w:rPr>
        <w:t xml:space="preserve"> som direkte berører instituttene: </w:t>
      </w:r>
    </w:p>
    <w:p w14:paraId="3B7B52C2" w14:textId="77777777" w:rsidR="00CD123E" w:rsidRPr="00F4046E" w:rsidRDefault="00CD123E" w:rsidP="00CD123E">
      <w:pPr>
        <w:spacing w:after="200" w:line="264" w:lineRule="auto"/>
        <w:ind w:left="360"/>
        <w:contextualSpacing/>
        <w:rPr>
          <w:rFonts w:ascii="Calibri" w:eastAsia="Calibri" w:hAnsi="Calibri"/>
          <w:bCs/>
          <w:i/>
          <w:iCs/>
          <w:sz w:val="22"/>
          <w:szCs w:val="22"/>
          <w:lang w:eastAsia="en-US"/>
        </w:rPr>
      </w:pPr>
      <w:r w:rsidRPr="00F4046E">
        <w:rPr>
          <w:rFonts w:ascii="Calibri" w:eastAsia="Calibri" w:hAnsi="Calibri"/>
          <w:bCs/>
          <w:i/>
          <w:iCs/>
          <w:sz w:val="22"/>
          <w:szCs w:val="22"/>
          <w:lang w:eastAsia="en-US"/>
        </w:rPr>
        <w:t>Vurderingene må ta hensyn til regjeringens overordnede forskningspolitikk og politikken overfor andre relevante sektorer, bl.a. når det gjelder samarbeid med helseforetak og forskningsinstitutter.</w:t>
      </w:r>
    </w:p>
    <w:p w14:paraId="07EDF8E5" w14:textId="77777777" w:rsidR="00CD123E" w:rsidRDefault="00CD123E" w:rsidP="00F4046E">
      <w:pPr>
        <w:spacing w:line="264" w:lineRule="auto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4C54772F" w14:textId="614750A7" w:rsidR="00F4046E" w:rsidRPr="00F4046E" w:rsidRDefault="00F4046E" w:rsidP="00F4046E">
      <w:pPr>
        <w:spacing w:line="264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4046E">
        <w:rPr>
          <w:rFonts w:ascii="Calibri" w:eastAsia="Calibri" w:hAnsi="Calibri"/>
          <w:bCs/>
          <w:sz w:val="22"/>
          <w:szCs w:val="22"/>
          <w:lang w:eastAsia="en-US"/>
        </w:rPr>
        <w:t xml:space="preserve">Vi kan ikke se at utvalget har svart på mandatet hva angår å ta hensyn til politikken overfor andre relevante sektorer, som helseforetak og forskningsinstitutter. Vi erfarer at </w:t>
      </w:r>
      <w:r w:rsidR="000F22C0">
        <w:rPr>
          <w:rFonts w:ascii="Calibri" w:eastAsia="Calibri" w:hAnsi="Calibri"/>
          <w:bCs/>
          <w:sz w:val="22"/>
          <w:szCs w:val="22"/>
          <w:lang w:eastAsia="en-US"/>
        </w:rPr>
        <w:t>markerte</w:t>
      </w:r>
      <w:r w:rsidRPr="00F4046E">
        <w:rPr>
          <w:rFonts w:ascii="Calibri" w:eastAsia="Calibri" w:hAnsi="Calibri"/>
          <w:bCs/>
          <w:sz w:val="22"/>
          <w:szCs w:val="22"/>
          <w:lang w:eastAsia="en-US"/>
        </w:rPr>
        <w:t xml:space="preserve"> endringer de seneste 5 årene</w:t>
      </w:r>
      <w:r w:rsidR="000F22C0">
        <w:rPr>
          <w:rFonts w:ascii="Calibri" w:eastAsia="Calibri" w:hAnsi="Calibri"/>
          <w:bCs/>
          <w:sz w:val="22"/>
          <w:szCs w:val="22"/>
          <w:lang w:eastAsia="en-US"/>
        </w:rPr>
        <w:t xml:space="preserve"> når det gjelder</w:t>
      </w:r>
      <w:r w:rsidRPr="00F4046E">
        <w:rPr>
          <w:rFonts w:ascii="Calibri" w:eastAsia="Calibri" w:hAnsi="Calibri"/>
          <w:bCs/>
          <w:sz w:val="22"/>
          <w:szCs w:val="22"/>
          <w:lang w:eastAsia="en-US"/>
        </w:rPr>
        <w:t xml:space="preserve"> andel NFR-tildelinger og ulik utvikling i grunnbevilgningen mellom UH-sektoren og instituttsektoren, er konsekvenser av beslutninger som ikke har hensyntatt det samlede forskningssystemet. Konsekvensene synes overraskende og ikke-intenderte for beslutningstagere. UH</w:t>
      </w:r>
      <w:proofErr w:type="gramStart"/>
      <w:r w:rsidR="00D9626D">
        <w:rPr>
          <w:rFonts w:ascii="Calibri" w:eastAsia="Calibri" w:hAnsi="Calibri"/>
          <w:bCs/>
          <w:sz w:val="22"/>
          <w:szCs w:val="22"/>
          <w:lang w:eastAsia="en-US"/>
        </w:rPr>
        <w:t xml:space="preserve">- </w:t>
      </w:r>
      <w:r w:rsidRPr="00F4046E">
        <w:rPr>
          <w:rFonts w:ascii="Calibri" w:eastAsia="Calibri" w:hAnsi="Calibri"/>
          <w:bCs/>
          <w:sz w:val="22"/>
          <w:szCs w:val="22"/>
          <w:lang w:eastAsia="en-US"/>
        </w:rPr>
        <w:t xml:space="preserve"> og</w:t>
      </w:r>
      <w:proofErr w:type="gramEnd"/>
      <w:r w:rsidRPr="00F4046E">
        <w:rPr>
          <w:rFonts w:ascii="Calibri" w:eastAsia="Calibri" w:hAnsi="Calibri"/>
          <w:bCs/>
          <w:sz w:val="22"/>
          <w:szCs w:val="22"/>
          <w:lang w:eastAsia="en-US"/>
        </w:rPr>
        <w:t xml:space="preserve"> </w:t>
      </w:r>
      <w:r w:rsidR="00D9626D">
        <w:rPr>
          <w:rFonts w:ascii="Calibri" w:eastAsia="Calibri" w:hAnsi="Calibri"/>
          <w:bCs/>
          <w:sz w:val="22"/>
          <w:szCs w:val="22"/>
          <w:lang w:eastAsia="en-US"/>
        </w:rPr>
        <w:t>instituttsektoren</w:t>
      </w:r>
      <w:r w:rsidRPr="00F4046E">
        <w:rPr>
          <w:rFonts w:ascii="Calibri" w:eastAsia="Calibri" w:hAnsi="Calibri"/>
          <w:bCs/>
          <w:sz w:val="22"/>
          <w:szCs w:val="22"/>
          <w:lang w:eastAsia="en-US"/>
        </w:rPr>
        <w:t xml:space="preserve"> er komplementære sektorer som samspiller for å løse samfunnsoppdragene og som konkurrerer om de samme midlene i Forskningsrådet. </w:t>
      </w:r>
      <w:r w:rsidRPr="00F4046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Vi minner om prinsippet som er nedfelt i regjeringens </w:t>
      </w:r>
      <w:hyperlink r:id="rId9" w:history="1">
        <w:r w:rsidRPr="00F4046E">
          <w:rPr>
            <w:rFonts w:ascii="Calibri" w:eastAsia="Calibri" w:hAnsi="Calibri" w:cs="Calibri"/>
            <w:i/>
            <w:iCs/>
            <w:color w:val="0000FF"/>
            <w:sz w:val="22"/>
            <w:szCs w:val="22"/>
            <w:u w:val="single"/>
            <w:lang w:eastAsia="en-US"/>
          </w:rPr>
          <w:t>Strategi for en helhetlig instituttpolitikk</w:t>
        </w:r>
      </w:hyperlink>
      <w:r w:rsidRPr="00F4046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som bl.a. sier at </w:t>
      </w:r>
    </w:p>
    <w:p w14:paraId="6779E8B1" w14:textId="77777777" w:rsidR="00D959CB" w:rsidRDefault="00D959CB" w:rsidP="00F4046E">
      <w:pPr>
        <w:spacing w:line="264" w:lineRule="auto"/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</w:pPr>
    </w:p>
    <w:p w14:paraId="5F6D2FA6" w14:textId="11E70A11" w:rsidR="00F4046E" w:rsidRPr="00F4046E" w:rsidRDefault="00F4046E" w:rsidP="00A12CBD">
      <w:pPr>
        <w:spacing w:line="264" w:lineRule="auto"/>
        <w:ind w:left="708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4046E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t>(…) i ytterste konsekvens kan sektorspesifikk politikkutvikling skape utilsiktede hindre for å få det beste ut av sektorene samlet sett</w:t>
      </w:r>
      <w:r w:rsidRPr="00F4046E">
        <w:rPr>
          <w:rFonts w:ascii="Calibri" w:eastAsia="Calibri" w:hAnsi="Calibri" w:cs="Calibri"/>
          <w:color w:val="000000"/>
          <w:sz w:val="22"/>
          <w:szCs w:val="22"/>
          <w:lang w:eastAsia="en-US"/>
        </w:rPr>
        <w:t>.</w:t>
      </w:r>
    </w:p>
    <w:p w14:paraId="271DC24E" w14:textId="77777777" w:rsidR="003038C0" w:rsidRDefault="003038C0" w:rsidP="00F4046E">
      <w:pPr>
        <w:spacing w:line="264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AC9CA85" w14:textId="595EDBA9" w:rsidR="00F4046E" w:rsidRPr="00F4046E" w:rsidRDefault="00F4046E" w:rsidP="00F4046E">
      <w:pPr>
        <w:spacing w:line="264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4046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og </w:t>
      </w:r>
      <w:r w:rsidR="00D959C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videre </w:t>
      </w:r>
      <w:r w:rsidRPr="00F4046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at </w:t>
      </w:r>
    </w:p>
    <w:p w14:paraId="2A6B3AA4" w14:textId="77777777" w:rsidR="00F4046E" w:rsidRPr="00F4046E" w:rsidRDefault="00F4046E" w:rsidP="00F4046E">
      <w:pPr>
        <w:numPr>
          <w:ilvl w:val="0"/>
          <w:numId w:val="31"/>
        </w:numPr>
        <w:spacing w:after="200" w:line="264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4046E">
        <w:rPr>
          <w:rFonts w:ascii="Calibri" w:eastAsia="Calibri" w:hAnsi="Calibri" w:cs="Calibri"/>
          <w:i/>
          <w:iCs/>
          <w:color w:val="000000"/>
          <w:sz w:val="22"/>
          <w:szCs w:val="22"/>
          <w:lang w:eastAsia="en-US"/>
        </w:rPr>
        <w:lastRenderedPageBreak/>
        <w:t>politikkutvikling for én av de forskningsutførende sektorene alltid må ses i sammenheng med politikken for de øvrige forskningsutførende sektorene</w:t>
      </w:r>
      <w:r w:rsidRPr="00F4046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. </w:t>
      </w:r>
    </w:p>
    <w:p w14:paraId="42760E19" w14:textId="77777777" w:rsidR="00F4046E" w:rsidRPr="00F4046E" w:rsidRDefault="00F4046E" w:rsidP="00F4046E">
      <w:pPr>
        <w:spacing w:line="264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4046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Dette prinsippet må ikke minst gjelde ved gjennomgang av finansieringssystemet. Endringer i finansieringssystemet for universiteter og høyskoler vil kunne påvirke samarbeids- og konkurranseforhold og dermed balansen mellom sektorene, som har ulike samfunnsoppdrag og ulike finansieringssystemer og opererer i et finstemt samspill. Som kjent er norsk universitets- og høyskolesektor i dag blant de som har høyest grunnfinansiering i Europa, mens norsk instituttsektor har lavest grunnfinansiering i Europa. </w:t>
      </w:r>
    </w:p>
    <w:p w14:paraId="4607A508" w14:textId="77777777" w:rsidR="00F4046E" w:rsidRPr="00F4046E" w:rsidRDefault="00F4046E" w:rsidP="00F4046E">
      <w:pPr>
        <w:spacing w:line="264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E52F67B" w14:textId="77777777" w:rsidR="00F4046E" w:rsidRPr="00F4046E" w:rsidRDefault="00F4046E" w:rsidP="00F4046E">
      <w:pPr>
        <w:spacing w:line="264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4046E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Konsekvenser av finansieringsutvalgets anbefalinger må derfor vurderes for å sikre at endringer i finansieringssystemet for universiteter og høyskoler ikke gir utilsiktede effekter i de andre sektorene og svekker det samlede forskningssystemets effektivitet i å oppfylle samfunnsoppdragene. </w:t>
      </w:r>
    </w:p>
    <w:p w14:paraId="3FC6869A" w14:textId="77777777" w:rsidR="00F4046E" w:rsidRPr="00F4046E" w:rsidRDefault="00F4046E" w:rsidP="00F4046E">
      <w:pPr>
        <w:spacing w:line="264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E26AB72" w14:textId="77777777" w:rsidR="00F4046E" w:rsidRPr="00F4046E" w:rsidRDefault="00F4046E" w:rsidP="00F4046E">
      <w:pPr>
        <w:spacing w:line="264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F4046E">
        <w:rPr>
          <w:rFonts w:ascii="Calibri" w:eastAsia="Calibri" w:hAnsi="Calibri" w:cs="Calibri"/>
          <w:color w:val="000000"/>
          <w:sz w:val="22"/>
          <w:szCs w:val="22"/>
          <w:lang w:eastAsia="en-US"/>
        </w:rPr>
        <w:t>Det er også avgjørende for instituttene at utdanningsinstitusjonene holder høy kvalitet og god relevans i utdanningen slik at instituttsektoren og alle deler av arbeidslivet kan rekruttere høyt kvalifiserte kandidater.</w:t>
      </w:r>
    </w:p>
    <w:p w14:paraId="6C8C04A9" w14:textId="77777777" w:rsidR="00F4046E" w:rsidRPr="00F4046E" w:rsidRDefault="00F4046E" w:rsidP="00F4046E">
      <w:pPr>
        <w:spacing w:line="264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36498C2" w14:textId="56CFBBEE" w:rsidR="0063104E" w:rsidRPr="0063104E" w:rsidRDefault="00F4046E" w:rsidP="004577F2">
      <w:pPr>
        <w:spacing w:line="264" w:lineRule="auto"/>
        <w:rPr>
          <w:rFonts w:ascii="Calibri" w:eastAsia="Calibri" w:hAnsi="Calibri"/>
          <w:sz w:val="22"/>
          <w:szCs w:val="22"/>
          <w:lang w:eastAsia="en-US"/>
        </w:rPr>
      </w:pPr>
      <w:r w:rsidRPr="00F4046E">
        <w:rPr>
          <w:rFonts w:ascii="Calibri" w:eastAsia="Calibri" w:hAnsi="Calibri" w:cs="Calibri"/>
          <w:color w:val="000000"/>
          <w:sz w:val="22"/>
          <w:szCs w:val="22"/>
          <w:lang w:eastAsia="en-US"/>
        </w:rPr>
        <w:t>Vi vil sterkt anbefale at departementet vurderer hvilke konsekvenser ev gjennomføring av utvalgets anbefalinger vil få for det samlede forskningssystemet. Om ønskelig, bidrar vi gjerne til et slikt arbeid.</w:t>
      </w:r>
    </w:p>
    <w:p w14:paraId="194B142A" w14:textId="77777777" w:rsidR="004B4F9D" w:rsidRPr="00FB1296" w:rsidRDefault="004B4F9D" w:rsidP="00874D10">
      <w:pPr>
        <w:rPr>
          <w:rFonts w:asciiTheme="minorHAnsi" w:hAnsiTheme="minorHAnsi" w:cstheme="minorHAnsi"/>
          <w:sz w:val="22"/>
          <w:szCs w:val="22"/>
        </w:rPr>
      </w:pPr>
    </w:p>
    <w:p w14:paraId="705152C4" w14:textId="77777777" w:rsidR="004B4F9D" w:rsidRPr="00FB1296" w:rsidRDefault="004B4F9D" w:rsidP="00874D10">
      <w:pPr>
        <w:rPr>
          <w:rFonts w:asciiTheme="minorHAnsi" w:hAnsiTheme="minorHAnsi" w:cstheme="minorHAnsi"/>
          <w:sz w:val="22"/>
          <w:szCs w:val="22"/>
        </w:rPr>
      </w:pPr>
    </w:p>
    <w:p w14:paraId="4C00FF2E" w14:textId="77777777" w:rsidR="00874D10" w:rsidRDefault="00874D10" w:rsidP="00874D10">
      <w:pPr>
        <w:rPr>
          <w:rFonts w:ascii="Calibri" w:hAnsi="Calibri" w:cs="Calibri"/>
          <w:sz w:val="22"/>
          <w:szCs w:val="22"/>
        </w:rPr>
      </w:pPr>
      <w:r w:rsidRPr="00874D10">
        <w:rPr>
          <w:rFonts w:ascii="Calibri" w:hAnsi="Calibri" w:cs="Calibri"/>
          <w:sz w:val="22"/>
          <w:szCs w:val="22"/>
        </w:rPr>
        <w:t>Vennlig hilsen</w:t>
      </w:r>
    </w:p>
    <w:p w14:paraId="2A497BB0" w14:textId="77777777" w:rsidR="00107266" w:rsidRPr="00874D10" w:rsidRDefault="00107266" w:rsidP="00874D10">
      <w:pPr>
        <w:rPr>
          <w:rFonts w:ascii="Calibri" w:hAnsi="Calibri" w:cs="Calibri"/>
          <w:sz w:val="22"/>
          <w:szCs w:val="22"/>
        </w:rPr>
      </w:pPr>
    </w:p>
    <w:p w14:paraId="5D4A637F" w14:textId="14445767" w:rsidR="00874D10" w:rsidRDefault="00874D10" w:rsidP="00874D10">
      <w:pPr>
        <w:rPr>
          <w:rFonts w:ascii="Calibri" w:hAnsi="Calibri" w:cs="Calibri"/>
          <w:sz w:val="22"/>
          <w:szCs w:val="22"/>
        </w:rPr>
      </w:pPr>
    </w:p>
    <w:p w14:paraId="597564C7" w14:textId="280D567C" w:rsidR="00874D10" w:rsidRPr="00874D10" w:rsidRDefault="00874D10" w:rsidP="00874D10">
      <w:pPr>
        <w:rPr>
          <w:rFonts w:ascii="Calibri" w:hAnsi="Calibri" w:cs="Calibri"/>
          <w:sz w:val="22"/>
          <w:szCs w:val="22"/>
        </w:rPr>
      </w:pPr>
    </w:p>
    <w:p w14:paraId="09D7EC89" w14:textId="2D4B023B" w:rsidR="00874D10" w:rsidRPr="00874D10" w:rsidRDefault="00107266" w:rsidP="00107266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Lars Holden</w:t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ab/>
      </w:r>
      <w:r w:rsidR="00874D10" w:rsidRPr="00874D10">
        <w:rPr>
          <w:rFonts w:ascii="Calibri" w:hAnsi="Calibri" w:cs="Calibri"/>
          <w:i/>
          <w:sz w:val="22"/>
          <w:szCs w:val="22"/>
        </w:rPr>
        <w:t>Agnes Landstad</w:t>
      </w:r>
    </w:p>
    <w:p w14:paraId="3B99FEBD" w14:textId="10342ECE" w:rsidR="00874D10" w:rsidRPr="00874D10" w:rsidRDefault="00107266" w:rsidP="00107266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Styreleder FFA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874D10" w:rsidRPr="00874D10">
        <w:rPr>
          <w:rFonts w:ascii="Calibri" w:hAnsi="Calibri" w:cs="Calibri"/>
          <w:sz w:val="18"/>
          <w:szCs w:val="18"/>
        </w:rPr>
        <w:t>Daglig leder FFA</w:t>
      </w:r>
    </w:p>
    <w:p w14:paraId="35E790CC" w14:textId="522237B3" w:rsidR="006770FA" w:rsidRPr="00AB3066" w:rsidRDefault="006770FA" w:rsidP="00874D10">
      <w:pPr>
        <w:rPr>
          <w:rFonts w:ascii="Calibri" w:hAnsi="Calibri" w:cs="Calibri"/>
          <w:sz w:val="22"/>
          <w:szCs w:val="22"/>
        </w:rPr>
      </w:pPr>
    </w:p>
    <w:sectPr w:rsidR="006770FA" w:rsidRPr="00AB3066" w:rsidSect="000D57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133" w:bottom="70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D7E55" w14:textId="77777777" w:rsidR="000B285C" w:rsidRDefault="000B285C" w:rsidP="0032655B">
      <w:r>
        <w:separator/>
      </w:r>
    </w:p>
  </w:endnote>
  <w:endnote w:type="continuationSeparator" w:id="0">
    <w:p w14:paraId="5B1046AF" w14:textId="77777777" w:rsidR="000B285C" w:rsidRDefault="000B285C" w:rsidP="0032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93816" w14:textId="77777777" w:rsidR="006C142E" w:rsidRDefault="006C142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D5A1" w14:textId="77777777" w:rsidR="00FB611F" w:rsidRDefault="00FB611F" w:rsidP="00081397">
    <w:pPr>
      <w:pStyle w:val="Bunntekst"/>
      <w:jc w:val="center"/>
      <w:rPr>
        <w:rFonts w:ascii="Andale Mono" w:hAnsi="Andale Mono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2A2D" w14:textId="61908040" w:rsidR="00FB611F" w:rsidRDefault="00CF705C" w:rsidP="00081397">
    <w:pPr>
      <w:pStyle w:val="Bunntekst"/>
      <w:tabs>
        <w:tab w:val="clear" w:pos="4536"/>
        <w:tab w:val="clear" w:pos="9072"/>
        <w:tab w:val="left" w:pos="1276"/>
        <w:tab w:val="right" w:pos="6096"/>
        <w:tab w:val="left" w:pos="6521"/>
      </w:tabs>
      <w:ind w:right="-995"/>
      <w:rPr>
        <w:rFonts w:ascii="Andale Mono" w:hAnsi="Andale Mono"/>
        <w:sz w:val="16"/>
      </w:rPr>
    </w:pPr>
    <w:r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47E3880" wp14:editId="74BF97F9">
              <wp:simplePos x="0" y="0"/>
              <wp:positionH relativeFrom="column">
                <wp:posOffset>-262313</wp:posOffset>
              </wp:positionH>
              <wp:positionV relativeFrom="paragraph">
                <wp:posOffset>-242397</wp:posOffset>
              </wp:positionV>
              <wp:extent cx="7397750" cy="788670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7397750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FB72E" w14:textId="77777777" w:rsidR="00FB611F" w:rsidRPr="00A54406" w:rsidRDefault="00FB611F" w:rsidP="00081397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</w:p>
                        <w:p w14:paraId="46D0AAE9" w14:textId="37EEC2ED" w:rsidR="00A54406" w:rsidRPr="00A54406" w:rsidRDefault="00CF705C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Postboks 5490, Majorstuen 0305 Oslo</w:t>
                          </w:r>
                          <w:r w:rsid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ab/>
                            <w:t xml:space="preserve">                      </w:t>
                          </w:r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Tlf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915 46 610</w:t>
                          </w:r>
                          <w:r w:rsidR="00EB7C04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                                </w:t>
                          </w:r>
                          <w:r w:rsidR="0000470F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  </w:t>
                          </w:r>
                          <w:proofErr w:type="spellStart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>Epost</w:t>
                          </w:r>
                          <w:proofErr w:type="spellEnd"/>
                          <w:r w:rsidRPr="00A5440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  <w:t xml:space="preserve">: </w:t>
                          </w:r>
                          <w:hyperlink r:id="rId1" w:history="1">
                            <w:r w:rsidR="006F312B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agnes.landstad@abelia.no</w:t>
                            </w:r>
                          </w:hyperlink>
                        </w:p>
                        <w:p w14:paraId="7D631EEF" w14:textId="2F190100" w:rsidR="00CF705C" w:rsidRPr="00A54406" w:rsidRDefault="000B285C" w:rsidP="006F312B">
                          <w:pPr>
                            <w:pStyle w:val="Topptekst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nn-NO"/>
                            </w:rPr>
                          </w:pPr>
                          <w:hyperlink r:id="rId2" w:history="1">
                            <w:r w:rsidR="00A54406" w:rsidRPr="00A54406">
                              <w:rPr>
                                <w:rStyle w:val="Hyperkobling"/>
                                <w:rFonts w:asciiTheme="minorHAnsi" w:hAnsiTheme="minorHAnsi" w:cstheme="minorHAnsi"/>
                                <w:sz w:val="18"/>
                                <w:szCs w:val="18"/>
                                <w:lang w:val="nn-NO"/>
                              </w:rPr>
                              <w:t>https://www.abelia.no/bransjeforeninger/ffa-forskningsinstituttenes-fellesarena/</w:t>
                            </w:r>
                          </w:hyperlink>
                        </w:p>
                        <w:p w14:paraId="1234AD77" w14:textId="77777777" w:rsidR="00A54406" w:rsidRPr="00A54406" w:rsidRDefault="00A54406" w:rsidP="006F312B">
                          <w:pPr>
                            <w:pStyle w:val="Topptekst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  <w:p w14:paraId="638BB46C" w14:textId="77777777" w:rsidR="00FB611F" w:rsidRPr="00A54406" w:rsidRDefault="00FB611F" w:rsidP="00081397">
                          <w:pPr>
                            <w:ind w:left="1695" w:hanging="1695"/>
                            <w:rPr>
                              <w:sz w:val="18"/>
                              <w:szCs w:val="18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7E388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0.65pt;margin-top:-19.1pt;width:582.5pt;height:62.1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" filled="f" stroked="f">
              <v:textbox>
                <w:txbxContent>
                  <w:p w14:paraId="5F2FB72E" w14:textId="77777777" w:rsidR="00FB611F" w:rsidRPr="00A54406" w:rsidRDefault="00FB611F" w:rsidP="00081397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</w:p>
                  <w:p w14:paraId="46D0AAE9" w14:textId="37EEC2ED" w:rsidR="00A54406" w:rsidRPr="00A54406" w:rsidRDefault="00CF705C" w:rsidP="006F312B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Postboks 5490, Majorstuen 0305 Oslo</w:t>
                    </w:r>
                    <w:r w:rsid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ab/>
                      <w:t xml:space="preserve">                      </w:t>
                    </w:r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Tlf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915 46 610</w:t>
                    </w:r>
                    <w:r w:rsidR="00EB7C04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                                </w:t>
                    </w:r>
                    <w:r w:rsidR="0000470F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  </w:t>
                    </w:r>
                    <w:proofErr w:type="spellStart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>Epost</w:t>
                    </w:r>
                    <w:proofErr w:type="spellEnd"/>
                    <w:r w:rsidRPr="00A54406"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  <w:t xml:space="preserve">: </w:t>
                    </w:r>
                    <w:hyperlink r:id="rId3" w:history="1">
                      <w:r w:rsidR="006F312B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agnes.landstad@abelia.no</w:t>
                      </w:r>
                    </w:hyperlink>
                  </w:p>
                  <w:p w14:paraId="7D631EEF" w14:textId="2F190100" w:rsidR="00CF705C" w:rsidRPr="00A54406" w:rsidRDefault="000B285C" w:rsidP="006F312B">
                    <w:pPr>
                      <w:pStyle w:val="Topptekst"/>
                      <w:rPr>
                        <w:rFonts w:asciiTheme="minorHAnsi" w:hAnsiTheme="minorHAnsi" w:cstheme="minorHAnsi"/>
                        <w:sz w:val="18"/>
                        <w:szCs w:val="18"/>
                        <w:lang w:val="nn-NO"/>
                      </w:rPr>
                    </w:pPr>
                    <w:hyperlink r:id="rId4" w:history="1">
                      <w:r w:rsidR="00A54406" w:rsidRPr="00A54406">
                        <w:rPr>
                          <w:rStyle w:val="Hyperkobling"/>
                          <w:rFonts w:asciiTheme="minorHAnsi" w:hAnsiTheme="minorHAnsi" w:cstheme="minorHAnsi"/>
                          <w:sz w:val="18"/>
                          <w:szCs w:val="18"/>
                          <w:lang w:val="nn-NO"/>
                        </w:rPr>
                        <w:t>https://www.abelia.no/bransjeforeninger/ffa-forskningsinstituttenes-fellesarena/</w:t>
                      </w:r>
                    </w:hyperlink>
                  </w:p>
                  <w:p w14:paraId="1234AD77" w14:textId="77777777" w:rsidR="00A54406" w:rsidRPr="00A54406" w:rsidRDefault="00A54406" w:rsidP="006F312B">
                    <w:pPr>
                      <w:pStyle w:val="Topptekst"/>
                      <w:rPr>
                        <w:sz w:val="18"/>
                        <w:szCs w:val="18"/>
                        <w:lang w:val="nn-NO"/>
                      </w:rPr>
                    </w:pPr>
                  </w:p>
                  <w:p w14:paraId="638BB46C" w14:textId="77777777" w:rsidR="00FB611F" w:rsidRPr="00A54406" w:rsidRDefault="00FB611F" w:rsidP="00081397">
                    <w:pPr>
                      <w:ind w:left="1695" w:hanging="1695"/>
                      <w:rPr>
                        <w:sz w:val="18"/>
                        <w:szCs w:val="18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B3A64" wp14:editId="3F4C0397">
              <wp:simplePos x="0" y="0"/>
              <wp:positionH relativeFrom="column">
                <wp:posOffset>3321050</wp:posOffset>
              </wp:positionH>
              <wp:positionV relativeFrom="paragraph">
                <wp:posOffset>-242570</wp:posOffset>
              </wp:positionV>
              <wp:extent cx="45085" cy="401320"/>
              <wp:effectExtent l="0" t="0" r="0" b="3175"/>
              <wp:wrapNone/>
              <wp:docPr id="1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0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63290" w14:textId="77777777" w:rsidR="00FB611F" w:rsidRPr="0032655B" w:rsidRDefault="00FB611F" w:rsidP="0032655B"/>
                        <w:p w14:paraId="7E2E88CA" w14:textId="77777777" w:rsidR="00FB611F" w:rsidRDefault="00FB611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8B3A64" id="Text Box 16" o:spid="_x0000_s1027" type="#_x0000_t202" style="position:absolute;margin-left:261.5pt;margin-top:-19.1pt;width:3.55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" filled="f" stroked="f">
              <v:textbox>
                <w:txbxContent>
                  <w:p w14:paraId="34E63290" w14:textId="77777777" w:rsidR="00FB611F" w:rsidRPr="0032655B" w:rsidRDefault="00FB611F" w:rsidP="0032655B"/>
                  <w:p w14:paraId="7E2E88CA" w14:textId="77777777" w:rsidR="00FB611F" w:rsidRDefault="00FB611F"/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329C08" wp14:editId="4A98D97D">
              <wp:simplePos x="0" y="0"/>
              <wp:positionH relativeFrom="column">
                <wp:posOffset>4904105</wp:posOffset>
              </wp:positionH>
              <wp:positionV relativeFrom="paragraph">
                <wp:posOffset>-1270</wp:posOffset>
              </wp:positionV>
              <wp:extent cx="72390" cy="128270"/>
              <wp:effectExtent l="0" t="0" r="0" b="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502FC" w14:textId="77777777" w:rsidR="00FB611F" w:rsidRPr="0032655B" w:rsidRDefault="00FB611F" w:rsidP="003265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329C08" id="Text Box 17" o:spid="_x0000_s1028" type="#_x0000_t202" style="position:absolute;margin-left:386.15pt;margin-top:-.1pt;width:5.7pt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" filled="f" stroked="f">
              <v:textbox>
                <w:txbxContent>
                  <w:p w14:paraId="487502FC" w14:textId="77777777" w:rsidR="00FB611F" w:rsidRPr="0032655B" w:rsidRDefault="00FB611F" w:rsidP="0032655B"/>
                </w:txbxContent>
              </v:textbox>
            </v:shape>
          </w:pict>
        </mc:Fallback>
      </mc:AlternateContent>
    </w:r>
    <w:r w:rsidR="00FB786A">
      <w:rPr>
        <w:rFonts w:ascii="Arial" w:hAnsi="Arial" w:cs="Arial"/>
        <w:noProof/>
        <w:color w:val="336699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DC708B" wp14:editId="77D6600E">
              <wp:simplePos x="0" y="0"/>
              <wp:positionH relativeFrom="column">
                <wp:posOffset>885190</wp:posOffset>
              </wp:positionH>
              <wp:positionV relativeFrom="paragraph">
                <wp:posOffset>286385</wp:posOffset>
              </wp:positionV>
              <wp:extent cx="2362835" cy="45085"/>
              <wp:effectExtent l="0" t="635" r="0" b="1905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02AC9" w14:textId="77777777" w:rsidR="00FB611F" w:rsidRPr="00D80AC6" w:rsidRDefault="00FB611F" w:rsidP="0032655B">
                          <w:pPr>
                            <w:ind w:left="1276" w:hanging="1276"/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</w:pP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>Postadresse:</w:t>
                          </w:r>
                          <w:r w:rsidRPr="00D80AC6">
                            <w:rPr>
                              <w:rFonts w:ascii="Arial" w:hAnsi="Arial" w:cs="Arial"/>
                              <w:color w:val="336699"/>
                              <w:sz w:val="20"/>
                              <w:lang w:val="nn-NO"/>
                            </w:rPr>
                            <w:tab/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Postboks 5490 Majorstuen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|</w:t>
                          </w:r>
                          <w:r w:rsidRPr="00D80AC6">
                            <w:rPr>
                              <w:rFonts w:ascii="Arial" w:hAnsi="Arial" w:cs="Arial"/>
                              <w:sz w:val="18"/>
                              <w:szCs w:val="18"/>
                              <w:lang w:val="nn-NO"/>
                            </w:rPr>
                            <w:t>, Norway</w:t>
                          </w:r>
                        </w:p>
                        <w:p w14:paraId="4126317E" w14:textId="77777777" w:rsidR="00FB611F" w:rsidRPr="00D80AC6" w:rsidRDefault="00FB611F" w:rsidP="00081397">
                          <w:pPr>
                            <w:ind w:left="1695" w:hanging="1695"/>
                            <w:rPr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C708B" id="Text Box 15" o:spid="_x0000_s1029" type="#_x0000_t202" style="position:absolute;margin-left:69.7pt;margin-top:22.55pt;width:186.05pt;height: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" filled="f" stroked="f">
              <v:textbox>
                <w:txbxContent>
                  <w:p w14:paraId="43702AC9" w14:textId="77777777" w:rsidR="00FB611F" w:rsidRPr="00D80AC6" w:rsidRDefault="00FB611F" w:rsidP="0032655B">
                    <w:pPr>
                      <w:ind w:left="1276" w:hanging="1276"/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</w:pP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>Postadresse:</w:t>
                    </w:r>
                    <w:r w:rsidRPr="00D80AC6">
                      <w:rPr>
                        <w:rFonts w:ascii="Arial" w:hAnsi="Arial" w:cs="Arial"/>
                        <w:color w:val="336699"/>
                        <w:sz w:val="20"/>
                        <w:lang w:val="nn-NO"/>
                      </w:rPr>
                      <w:tab/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Postboks 5490 Majorstuen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|</w:t>
                    </w:r>
                    <w:r w:rsidRPr="00D80AC6">
                      <w:rPr>
                        <w:rFonts w:ascii="Arial" w:hAnsi="Arial" w:cs="Arial"/>
                        <w:sz w:val="18"/>
                        <w:szCs w:val="18"/>
                        <w:lang w:val="nn-NO"/>
                      </w:rPr>
                      <w:t>, Norway</w:t>
                    </w:r>
                  </w:p>
                  <w:p w14:paraId="4126317E" w14:textId="77777777" w:rsidR="00FB611F" w:rsidRPr="00D80AC6" w:rsidRDefault="00FB611F" w:rsidP="00081397">
                    <w:pPr>
                      <w:ind w:left="1695" w:hanging="1695"/>
                      <w:rPr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FB786A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4D508A" wp14:editId="7F950D8F">
              <wp:simplePos x="0" y="0"/>
              <wp:positionH relativeFrom="column">
                <wp:posOffset>4976495</wp:posOffset>
              </wp:positionH>
              <wp:positionV relativeFrom="paragraph">
                <wp:posOffset>-242570</wp:posOffset>
              </wp:positionV>
              <wp:extent cx="1490345" cy="369570"/>
              <wp:effectExtent l="4445" t="0" r="635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F340E" w14:textId="77777777" w:rsidR="00FB611F" w:rsidRDefault="00FB611F"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D508A" id="Text Box 7" o:spid="_x0000_s1030" type="#_x0000_t202" style="position:absolute;margin-left:391.85pt;margin-top:-19.1pt;width:117.35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" filled="f" stroked="f">
              <v:textbox>
                <w:txbxContent>
                  <w:p w14:paraId="5DDF340E" w14:textId="77777777" w:rsidR="00FB611F" w:rsidRDefault="00FB611F"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E90E6" w14:textId="77777777" w:rsidR="000B285C" w:rsidRDefault="000B285C" w:rsidP="0032655B">
      <w:r>
        <w:separator/>
      </w:r>
    </w:p>
  </w:footnote>
  <w:footnote w:type="continuationSeparator" w:id="0">
    <w:p w14:paraId="6018A1FD" w14:textId="77777777" w:rsidR="000B285C" w:rsidRDefault="000B285C" w:rsidP="0032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D1AD" w14:textId="77777777" w:rsidR="00FB611F" w:rsidRDefault="00F04FB7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 w:rsidR="00FB611F"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FB611F">
      <w:rPr>
        <w:rStyle w:val="Sidetall"/>
        <w:noProof/>
      </w:rPr>
      <w:t>1</w:t>
    </w:r>
    <w:r>
      <w:rPr>
        <w:rStyle w:val="Sidetall"/>
      </w:rPr>
      <w:fldChar w:fldCharType="end"/>
    </w:r>
  </w:p>
  <w:p w14:paraId="0C519B1D" w14:textId="77777777" w:rsidR="00FB611F" w:rsidRDefault="00FB611F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BE5ED" w14:textId="16789C79" w:rsidR="00FB611F" w:rsidRPr="0060010A" w:rsidRDefault="00F04FB7">
    <w:pPr>
      <w:pStyle w:val="Topptekst"/>
      <w:framePr w:wrap="around" w:vAnchor="text" w:hAnchor="margin" w:xAlign="right" w:y="1"/>
      <w:rPr>
        <w:rStyle w:val="Sidetall"/>
        <w:i/>
        <w:sz w:val="20"/>
      </w:rPr>
    </w:pP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PAGE 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2</w:t>
    </w:r>
    <w:r w:rsidRPr="0060010A">
      <w:rPr>
        <w:rStyle w:val="Sidetall"/>
        <w:i/>
        <w:sz w:val="20"/>
      </w:rPr>
      <w:fldChar w:fldCharType="end"/>
    </w:r>
    <w:r w:rsidR="00FB611F" w:rsidRPr="0060010A">
      <w:rPr>
        <w:rStyle w:val="Sidetall"/>
        <w:i/>
        <w:sz w:val="20"/>
      </w:rPr>
      <w:t xml:space="preserve"> av </w:t>
    </w:r>
    <w:r w:rsidRPr="0060010A">
      <w:rPr>
        <w:rStyle w:val="Sidetall"/>
        <w:i/>
        <w:sz w:val="20"/>
      </w:rPr>
      <w:fldChar w:fldCharType="begin"/>
    </w:r>
    <w:r w:rsidR="00FB611F" w:rsidRPr="0060010A">
      <w:rPr>
        <w:rStyle w:val="Sidetall"/>
        <w:i/>
        <w:sz w:val="20"/>
      </w:rPr>
      <w:instrText xml:space="preserve"> NUMPAGES </w:instrText>
    </w:r>
    <w:r w:rsidRPr="0060010A">
      <w:rPr>
        <w:rStyle w:val="Sidetall"/>
        <w:i/>
        <w:sz w:val="20"/>
      </w:rPr>
      <w:fldChar w:fldCharType="separate"/>
    </w:r>
    <w:r w:rsidR="004B4F9D">
      <w:rPr>
        <w:rStyle w:val="Sidetall"/>
        <w:i/>
        <w:noProof/>
        <w:sz w:val="20"/>
      </w:rPr>
      <w:t>3</w:t>
    </w:r>
    <w:r w:rsidRPr="0060010A">
      <w:rPr>
        <w:rStyle w:val="Sidetall"/>
        <w:i/>
        <w:sz w:val="20"/>
      </w:rPr>
      <w:fldChar w:fldCharType="end"/>
    </w:r>
  </w:p>
  <w:p w14:paraId="08707B89" w14:textId="77777777" w:rsidR="00FB611F" w:rsidRDefault="00FB611F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915C4" w14:textId="26D66904" w:rsidR="00FB611F" w:rsidRPr="00CF705C" w:rsidRDefault="6DE70122" w:rsidP="00CF705C">
    <w:pPr>
      <w:pStyle w:val="Topptekst"/>
      <w:jc w:val="right"/>
      <w:rPr>
        <w:rFonts w:asciiTheme="minorHAnsi" w:hAnsiTheme="minorHAnsi" w:cstheme="minorHAnsi"/>
        <w:sz w:val="20"/>
        <w:lang w:val="nn-NO"/>
      </w:rPr>
    </w:pPr>
    <w:r>
      <w:rPr>
        <w:noProof/>
      </w:rPr>
      <w:drawing>
        <wp:inline distT="0" distB="0" distL="0" distR="0" wp14:anchorId="65D1EA9E" wp14:editId="02D88396">
          <wp:extent cx="2469515" cy="422023"/>
          <wp:effectExtent l="0" t="0" r="6985" b="0"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515" cy="422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34D0AE" w14:textId="77777777" w:rsidR="00FB611F" w:rsidRPr="000606B2" w:rsidRDefault="00FB611F" w:rsidP="00081397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3C9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C83053FC"/>
    <w:lvl w:ilvl="0" w:tplc="A672E3A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A520C9E">
      <w:numFmt w:val="decimal"/>
      <w:lvlText w:val=""/>
      <w:lvlJc w:val="left"/>
    </w:lvl>
    <w:lvl w:ilvl="2" w:tplc="517A3E28">
      <w:numFmt w:val="decimal"/>
      <w:lvlText w:val=""/>
      <w:lvlJc w:val="left"/>
    </w:lvl>
    <w:lvl w:ilvl="3" w:tplc="D65C064E">
      <w:numFmt w:val="decimal"/>
      <w:lvlText w:val=""/>
      <w:lvlJc w:val="left"/>
    </w:lvl>
    <w:lvl w:ilvl="4" w:tplc="2AEE5AEE">
      <w:numFmt w:val="decimal"/>
      <w:lvlText w:val=""/>
      <w:lvlJc w:val="left"/>
    </w:lvl>
    <w:lvl w:ilvl="5" w:tplc="C896CFF8">
      <w:numFmt w:val="decimal"/>
      <w:lvlText w:val=""/>
      <w:lvlJc w:val="left"/>
    </w:lvl>
    <w:lvl w:ilvl="6" w:tplc="09B4AD24">
      <w:numFmt w:val="decimal"/>
      <w:lvlText w:val=""/>
      <w:lvlJc w:val="left"/>
    </w:lvl>
    <w:lvl w:ilvl="7" w:tplc="DB04A054">
      <w:numFmt w:val="decimal"/>
      <w:lvlText w:val=""/>
      <w:lvlJc w:val="left"/>
    </w:lvl>
    <w:lvl w:ilvl="8" w:tplc="4B1E33E2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A8F6579E"/>
    <w:lvl w:ilvl="0" w:tplc="9228803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CF3269AC">
      <w:numFmt w:val="decimal"/>
      <w:lvlText w:val=""/>
      <w:lvlJc w:val="left"/>
    </w:lvl>
    <w:lvl w:ilvl="2" w:tplc="58868AC0">
      <w:numFmt w:val="decimal"/>
      <w:lvlText w:val=""/>
      <w:lvlJc w:val="left"/>
    </w:lvl>
    <w:lvl w:ilvl="3" w:tplc="5AD2ACE8">
      <w:numFmt w:val="decimal"/>
      <w:lvlText w:val=""/>
      <w:lvlJc w:val="left"/>
    </w:lvl>
    <w:lvl w:ilvl="4" w:tplc="C11CCAFA">
      <w:numFmt w:val="decimal"/>
      <w:lvlText w:val=""/>
      <w:lvlJc w:val="left"/>
    </w:lvl>
    <w:lvl w:ilvl="5" w:tplc="7A4AEB1A">
      <w:numFmt w:val="decimal"/>
      <w:lvlText w:val=""/>
      <w:lvlJc w:val="left"/>
    </w:lvl>
    <w:lvl w:ilvl="6" w:tplc="0464F442">
      <w:numFmt w:val="decimal"/>
      <w:lvlText w:val=""/>
      <w:lvlJc w:val="left"/>
    </w:lvl>
    <w:lvl w:ilvl="7" w:tplc="298E7BFC">
      <w:numFmt w:val="decimal"/>
      <w:lvlText w:val=""/>
      <w:lvlJc w:val="left"/>
    </w:lvl>
    <w:lvl w:ilvl="8" w:tplc="E1841F9C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41304D52"/>
    <w:lvl w:ilvl="0" w:tplc="52E8025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5B047D2">
      <w:numFmt w:val="decimal"/>
      <w:lvlText w:val=""/>
      <w:lvlJc w:val="left"/>
    </w:lvl>
    <w:lvl w:ilvl="2" w:tplc="8FE85DA4">
      <w:numFmt w:val="decimal"/>
      <w:lvlText w:val=""/>
      <w:lvlJc w:val="left"/>
    </w:lvl>
    <w:lvl w:ilvl="3" w:tplc="B5B21B86">
      <w:numFmt w:val="decimal"/>
      <w:lvlText w:val=""/>
      <w:lvlJc w:val="left"/>
    </w:lvl>
    <w:lvl w:ilvl="4" w:tplc="3726164E">
      <w:numFmt w:val="decimal"/>
      <w:lvlText w:val=""/>
      <w:lvlJc w:val="left"/>
    </w:lvl>
    <w:lvl w:ilvl="5" w:tplc="0FCC667E">
      <w:numFmt w:val="decimal"/>
      <w:lvlText w:val=""/>
      <w:lvlJc w:val="left"/>
    </w:lvl>
    <w:lvl w:ilvl="6" w:tplc="850243BC">
      <w:numFmt w:val="decimal"/>
      <w:lvlText w:val=""/>
      <w:lvlJc w:val="left"/>
    </w:lvl>
    <w:lvl w:ilvl="7" w:tplc="CE86A58C">
      <w:numFmt w:val="decimal"/>
      <w:lvlText w:val=""/>
      <w:lvlJc w:val="left"/>
    </w:lvl>
    <w:lvl w:ilvl="8" w:tplc="67C2FEA0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5E1E2782"/>
    <w:lvl w:ilvl="0" w:tplc="3DF66D9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A9E65440">
      <w:numFmt w:val="decimal"/>
      <w:lvlText w:val=""/>
      <w:lvlJc w:val="left"/>
    </w:lvl>
    <w:lvl w:ilvl="2" w:tplc="77FA1124">
      <w:numFmt w:val="decimal"/>
      <w:lvlText w:val=""/>
      <w:lvlJc w:val="left"/>
    </w:lvl>
    <w:lvl w:ilvl="3" w:tplc="DA908A2E">
      <w:numFmt w:val="decimal"/>
      <w:lvlText w:val=""/>
      <w:lvlJc w:val="left"/>
    </w:lvl>
    <w:lvl w:ilvl="4" w:tplc="78C81B62">
      <w:numFmt w:val="decimal"/>
      <w:lvlText w:val=""/>
      <w:lvlJc w:val="left"/>
    </w:lvl>
    <w:lvl w:ilvl="5" w:tplc="C58298E6">
      <w:numFmt w:val="decimal"/>
      <w:lvlText w:val=""/>
      <w:lvlJc w:val="left"/>
    </w:lvl>
    <w:lvl w:ilvl="6" w:tplc="362A52F6">
      <w:numFmt w:val="decimal"/>
      <w:lvlText w:val=""/>
      <w:lvlJc w:val="left"/>
    </w:lvl>
    <w:lvl w:ilvl="7" w:tplc="1C66C7C6">
      <w:numFmt w:val="decimal"/>
      <w:lvlText w:val=""/>
      <w:lvlJc w:val="left"/>
    </w:lvl>
    <w:lvl w:ilvl="8" w:tplc="A5FE6CC2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AC04AB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E0A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2A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66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E63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81A7C"/>
    <w:multiLevelType w:val="hybridMultilevel"/>
    <w:tmpl w:val="6368FA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F7D85"/>
    <w:multiLevelType w:val="hybridMultilevel"/>
    <w:tmpl w:val="DD0A4F1E"/>
    <w:lvl w:ilvl="0" w:tplc="E5A47B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75575"/>
    <w:multiLevelType w:val="hybridMultilevel"/>
    <w:tmpl w:val="BFBAD7FE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2F40E7"/>
    <w:multiLevelType w:val="hybridMultilevel"/>
    <w:tmpl w:val="A04E489C"/>
    <w:lvl w:ilvl="0" w:tplc="543630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05D00"/>
    <w:multiLevelType w:val="hybridMultilevel"/>
    <w:tmpl w:val="2ED4CBC2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133E6A91"/>
    <w:multiLevelType w:val="hybridMultilevel"/>
    <w:tmpl w:val="05DE79E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BC4FC1"/>
    <w:multiLevelType w:val="hybridMultilevel"/>
    <w:tmpl w:val="52B8DBBE"/>
    <w:lvl w:ilvl="0" w:tplc="85105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4C34DE"/>
    <w:multiLevelType w:val="hybridMultilevel"/>
    <w:tmpl w:val="BD587CE6"/>
    <w:lvl w:ilvl="0" w:tplc="39921D20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100153"/>
    <w:multiLevelType w:val="hybridMultilevel"/>
    <w:tmpl w:val="A2B6C5C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E7EE9F6">
      <w:start w:val="1"/>
      <w:numFmt w:val="decimal"/>
      <w:lvlText w:val="%2."/>
      <w:lvlJc w:val="left"/>
      <w:pPr>
        <w:ind w:left="1430" w:hanging="71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5C5A85"/>
    <w:multiLevelType w:val="hybridMultilevel"/>
    <w:tmpl w:val="022A45F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3551C43"/>
    <w:multiLevelType w:val="hybridMultilevel"/>
    <w:tmpl w:val="FA461AF0"/>
    <w:lvl w:ilvl="0" w:tplc="0414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23756A47"/>
    <w:multiLevelType w:val="hybridMultilevel"/>
    <w:tmpl w:val="088065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F00407"/>
    <w:multiLevelType w:val="hybridMultilevel"/>
    <w:tmpl w:val="220A3176"/>
    <w:lvl w:ilvl="0" w:tplc="B996590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A2648E"/>
    <w:multiLevelType w:val="hybridMultilevel"/>
    <w:tmpl w:val="CFFC8DAA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0322E1"/>
    <w:multiLevelType w:val="hybridMultilevel"/>
    <w:tmpl w:val="A2504EFE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399F5320"/>
    <w:multiLevelType w:val="hybridMultilevel"/>
    <w:tmpl w:val="87A4FE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61189"/>
    <w:multiLevelType w:val="hybridMultilevel"/>
    <w:tmpl w:val="B5565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93518"/>
    <w:multiLevelType w:val="hybridMultilevel"/>
    <w:tmpl w:val="24005E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A2EB4"/>
    <w:multiLevelType w:val="hybridMultilevel"/>
    <w:tmpl w:val="83EEB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901E2"/>
    <w:multiLevelType w:val="hybridMultilevel"/>
    <w:tmpl w:val="ADE4A06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EA9643E"/>
    <w:multiLevelType w:val="hybridMultilevel"/>
    <w:tmpl w:val="C7AA4FF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252ACC"/>
    <w:multiLevelType w:val="hybridMultilevel"/>
    <w:tmpl w:val="6C8C9B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295AAFF6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55071E"/>
    <w:multiLevelType w:val="hybridMultilevel"/>
    <w:tmpl w:val="8A3CA7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C4EF1"/>
    <w:multiLevelType w:val="hybridMultilevel"/>
    <w:tmpl w:val="25661C7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1668194">
    <w:abstractNumId w:val="27"/>
  </w:num>
  <w:num w:numId="2" w16cid:durableId="1639454451">
    <w:abstractNumId w:val="20"/>
  </w:num>
  <w:num w:numId="3" w16cid:durableId="264726630">
    <w:abstractNumId w:val="14"/>
  </w:num>
  <w:num w:numId="4" w16cid:durableId="1808400831">
    <w:abstractNumId w:val="30"/>
  </w:num>
  <w:num w:numId="5" w16cid:durableId="1745444443">
    <w:abstractNumId w:val="8"/>
  </w:num>
  <w:num w:numId="6" w16cid:durableId="1084912127">
    <w:abstractNumId w:val="3"/>
  </w:num>
  <w:num w:numId="7" w16cid:durableId="1474834515">
    <w:abstractNumId w:val="2"/>
  </w:num>
  <w:num w:numId="8" w16cid:durableId="192809465">
    <w:abstractNumId w:val="1"/>
  </w:num>
  <w:num w:numId="9" w16cid:durableId="21057804">
    <w:abstractNumId w:val="0"/>
  </w:num>
  <w:num w:numId="10" w16cid:durableId="1983776656">
    <w:abstractNumId w:val="9"/>
  </w:num>
  <w:num w:numId="11" w16cid:durableId="1393650547">
    <w:abstractNumId w:val="7"/>
  </w:num>
  <w:num w:numId="12" w16cid:durableId="532964587">
    <w:abstractNumId w:val="6"/>
  </w:num>
  <w:num w:numId="13" w16cid:durableId="395667831">
    <w:abstractNumId w:val="5"/>
  </w:num>
  <w:num w:numId="14" w16cid:durableId="534270235">
    <w:abstractNumId w:val="4"/>
  </w:num>
  <w:num w:numId="15" w16cid:durableId="1879664894">
    <w:abstractNumId w:val="33"/>
  </w:num>
  <w:num w:numId="16" w16cid:durableId="1430927106">
    <w:abstractNumId w:val="23"/>
  </w:num>
  <w:num w:numId="17" w16cid:durableId="508833683">
    <w:abstractNumId w:val="11"/>
  </w:num>
  <w:num w:numId="18" w16cid:durableId="573321457">
    <w:abstractNumId w:val="26"/>
  </w:num>
  <w:num w:numId="19" w16cid:durableId="87972832">
    <w:abstractNumId w:val="25"/>
  </w:num>
  <w:num w:numId="20" w16cid:durableId="1353993076">
    <w:abstractNumId w:val="32"/>
  </w:num>
  <w:num w:numId="21" w16cid:durableId="224149341">
    <w:abstractNumId w:val="24"/>
  </w:num>
  <w:num w:numId="22" w16cid:durableId="1481269093">
    <w:abstractNumId w:val="10"/>
  </w:num>
  <w:num w:numId="23" w16cid:durableId="1114132583">
    <w:abstractNumId w:val="12"/>
  </w:num>
  <w:num w:numId="24" w16cid:durableId="607196809">
    <w:abstractNumId w:val="17"/>
  </w:num>
  <w:num w:numId="25" w16cid:durableId="1628395098">
    <w:abstractNumId w:val="29"/>
  </w:num>
  <w:num w:numId="26" w16cid:durableId="31854043">
    <w:abstractNumId w:val="18"/>
  </w:num>
  <w:num w:numId="27" w16cid:durableId="936326842">
    <w:abstractNumId w:val="28"/>
  </w:num>
  <w:num w:numId="28" w16cid:durableId="1760784355">
    <w:abstractNumId w:val="31"/>
  </w:num>
  <w:num w:numId="29" w16cid:durableId="727991966">
    <w:abstractNumId w:val="16"/>
  </w:num>
  <w:num w:numId="30" w16cid:durableId="1727800538">
    <w:abstractNumId w:val="21"/>
  </w:num>
  <w:num w:numId="31" w16cid:durableId="148593807">
    <w:abstractNumId w:val="19"/>
  </w:num>
  <w:num w:numId="32" w16cid:durableId="493765191">
    <w:abstractNumId w:val="15"/>
  </w:num>
  <w:num w:numId="33" w16cid:durableId="1690256975">
    <w:abstractNumId w:val="22"/>
  </w:num>
  <w:num w:numId="34" w16cid:durableId="6730003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ABF"/>
    <w:rsid w:val="00001117"/>
    <w:rsid w:val="0000470F"/>
    <w:rsid w:val="000058DB"/>
    <w:rsid w:val="000155D2"/>
    <w:rsid w:val="00017828"/>
    <w:rsid w:val="000212AC"/>
    <w:rsid w:val="00033473"/>
    <w:rsid w:val="00042753"/>
    <w:rsid w:val="00052912"/>
    <w:rsid w:val="000606B2"/>
    <w:rsid w:val="00075A2D"/>
    <w:rsid w:val="00081397"/>
    <w:rsid w:val="0008534F"/>
    <w:rsid w:val="000861DC"/>
    <w:rsid w:val="00091C09"/>
    <w:rsid w:val="00096085"/>
    <w:rsid w:val="000A0D28"/>
    <w:rsid w:val="000A4B4A"/>
    <w:rsid w:val="000B285C"/>
    <w:rsid w:val="000C3851"/>
    <w:rsid w:val="000C64F9"/>
    <w:rsid w:val="000D5765"/>
    <w:rsid w:val="000F1C16"/>
    <w:rsid w:val="000F22C0"/>
    <w:rsid w:val="00107266"/>
    <w:rsid w:val="00116808"/>
    <w:rsid w:val="001475FE"/>
    <w:rsid w:val="00150D07"/>
    <w:rsid w:val="00171FD1"/>
    <w:rsid w:val="00175884"/>
    <w:rsid w:val="00192819"/>
    <w:rsid w:val="001A1978"/>
    <w:rsid w:val="001C7E26"/>
    <w:rsid w:val="001F4DF2"/>
    <w:rsid w:val="00200F2B"/>
    <w:rsid w:val="00212A1D"/>
    <w:rsid w:val="00257222"/>
    <w:rsid w:val="00257D02"/>
    <w:rsid w:val="00262E46"/>
    <w:rsid w:val="00272001"/>
    <w:rsid w:val="00272C50"/>
    <w:rsid w:val="00284E8B"/>
    <w:rsid w:val="00293FA0"/>
    <w:rsid w:val="002956BE"/>
    <w:rsid w:val="002C514D"/>
    <w:rsid w:val="002C54B1"/>
    <w:rsid w:val="002F3248"/>
    <w:rsid w:val="002F72BA"/>
    <w:rsid w:val="003038C0"/>
    <w:rsid w:val="00310CC0"/>
    <w:rsid w:val="0032655B"/>
    <w:rsid w:val="00330695"/>
    <w:rsid w:val="00337E94"/>
    <w:rsid w:val="00343262"/>
    <w:rsid w:val="003546D8"/>
    <w:rsid w:val="00355D48"/>
    <w:rsid w:val="00364017"/>
    <w:rsid w:val="00366E35"/>
    <w:rsid w:val="00382B75"/>
    <w:rsid w:val="003A2895"/>
    <w:rsid w:val="003A2E0D"/>
    <w:rsid w:val="003A2EE8"/>
    <w:rsid w:val="003A5435"/>
    <w:rsid w:val="003B262C"/>
    <w:rsid w:val="003B4E03"/>
    <w:rsid w:val="003C04E3"/>
    <w:rsid w:val="003E3477"/>
    <w:rsid w:val="003F12AD"/>
    <w:rsid w:val="004040AB"/>
    <w:rsid w:val="004056E1"/>
    <w:rsid w:val="00411DFE"/>
    <w:rsid w:val="00430FD4"/>
    <w:rsid w:val="00432A73"/>
    <w:rsid w:val="00440B75"/>
    <w:rsid w:val="00441BF4"/>
    <w:rsid w:val="004451F0"/>
    <w:rsid w:val="0045730F"/>
    <w:rsid w:val="004577F2"/>
    <w:rsid w:val="0046426A"/>
    <w:rsid w:val="0047029D"/>
    <w:rsid w:val="00473D3F"/>
    <w:rsid w:val="0047546A"/>
    <w:rsid w:val="00481921"/>
    <w:rsid w:val="00493B33"/>
    <w:rsid w:val="00497E57"/>
    <w:rsid w:val="004B4F9D"/>
    <w:rsid w:val="004C209C"/>
    <w:rsid w:val="004D2FD5"/>
    <w:rsid w:val="004E1120"/>
    <w:rsid w:val="004E509D"/>
    <w:rsid w:val="00514054"/>
    <w:rsid w:val="00526FCF"/>
    <w:rsid w:val="005365A3"/>
    <w:rsid w:val="00544A76"/>
    <w:rsid w:val="005467DD"/>
    <w:rsid w:val="0055720C"/>
    <w:rsid w:val="0057182D"/>
    <w:rsid w:val="00582FBF"/>
    <w:rsid w:val="005876EA"/>
    <w:rsid w:val="00592497"/>
    <w:rsid w:val="005975AB"/>
    <w:rsid w:val="00597B2B"/>
    <w:rsid w:val="005C7D27"/>
    <w:rsid w:val="005E56A9"/>
    <w:rsid w:val="005F2009"/>
    <w:rsid w:val="00620CF7"/>
    <w:rsid w:val="00622A4D"/>
    <w:rsid w:val="00625779"/>
    <w:rsid w:val="006270D2"/>
    <w:rsid w:val="0063104E"/>
    <w:rsid w:val="00646028"/>
    <w:rsid w:val="00652B84"/>
    <w:rsid w:val="00662CEF"/>
    <w:rsid w:val="00663C70"/>
    <w:rsid w:val="006729FE"/>
    <w:rsid w:val="00676006"/>
    <w:rsid w:val="006770FA"/>
    <w:rsid w:val="00691512"/>
    <w:rsid w:val="00697BAC"/>
    <w:rsid w:val="006A6914"/>
    <w:rsid w:val="006B4C43"/>
    <w:rsid w:val="006C142E"/>
    <w:rsid w:val="006C3364"/>
    <w:rsid w:val="006E347A"/>
    <w:rsid w:val="006E4CFA"/>
    <w:rsid w:val="006F0AF5"/>
    <w:rsid w:val="006F312B"/>
    <w:rsid w:val="006F49B0"/>
    <w:rsid w:val="00702155"/>
    <w:rsid w:val="00703728"/>
    <w:rsid w:val="00705B62"/>
    <w:rsid w:val="00720C62"/>
    <w:rsid w:val="007342BB"/>
    <w:rsid w:val="00734867"/>
    <w:rsid w:val="00742A02"/>
    <w:rsid w:val="00764657"/>
    <w:rsid w:val="007805E6"/>
    <w:rsid w:val="00782DFD"/>
    <w:rsid w:val="00786DAC"/>
    <w:rsid w:val="007A1F23"/>
    <w:rsid w:val="007A30FD"/>
    <w:rsid w:val="007A434E"/>
    <w:rsid w:val="007B5C8E"/>
    <w:rsid w:val="007C2DF0"/>
    <w:rsid w:val="007C553D"/>
    <w:rsid w:val="007F3FB0"/>
    <w:rsid w:val="007F5345"/>
    <w:rsid w:val="00806BDE"/>
    <w:rsid w:val="00820304"/>
    <w:rsid w:val="008217C5"/>
    <w:rsid w:val="00837333"/>
    <w:rsid w:val="0084088B"/>
    <w:rsid w:val="00841F5C"/>
    <w:rsid w:val="00846BB8"/>
    <w:rsid w:val="00866D98"/>
    <w:rsid w:val="00874078"/>
    <w:rsid w:val="00874D10"/>
    <w:rsid w:val="0087530F"/>
    <w:rsid w:val="00876E64"/>
    <w:rsid w:val="00880DB4"/>
    <w:rsid w:val="00884DD3"/>
    <w:rsid w:val="00891E21"/>
    <w:rsid w:val="00895386"/>
    <w:rsid w:val="008A3B6E"/>
    <w:rsid w:val="008E6570"/>
    <w:rsid w:val="008F0095"/>
    <w:rsid w:val="00941175"/>
    <w:rsid w:val="009478E9"/>
    <w:rsid w:val="0095040A"/>
    <w:rsid w:val="009574E5"/>
    <w:rsid w:val="00962BBE"/>
    <w:rsid w:val="009750FC"/>
    <w:rsid w:val="00991667"/>
    <w:rsid w:val="00996A8C"/>
    <w:rsid w:val="009A2161"/>
    <w:rsid w:val="009A4485"/>
    <w:rsid w:val="009F78A1"/>
    <w:rsid w:val="00A12CBD"/>
    <w:rsid w:val="00A25B4A"/>
    <w:rsid w:val="00A42EB2"/>
    <w:rsid w:val="00A45161"/>
    <w:rsid w:val="00A54406"/>
    <w:rsid w:val="00A57449"/>
    <w:rsid w:val="00A75EAF"/>
    <w:rsid w:val="00AA471D"/>
    <w:rsid w:val="00AB3066"/>
    <w:rsid w:val="00AB3492"/>
    <w:rsid w:val="00AC06CF"/>
    <w:rsid w:val="00AC1704"/>
    <w:rsid w:val="00AC7834"/>
    <w:rsid w:val="00AD58F0"/>
    <w:rsid w:val="00AE5638"/>
    <w:rsid w:val="00AF0C0C"/>
    <w:rsid w:val="00AF5ABF"/>
    <w:rsid w:val="00AF7941"/>
    <w:rsid w:val="00B04E19"/>
    <w:rsid w:val="00B30547"/>
    <w:rsid w:val="00B338D6"/>
    <w:rsid w:val="00B50B90"/>
    <w:rsid w:val="00B56649"/>
    <w:rsid w:val="00B57D39"/>
    <w:rsid w:val="00B63E13"/>
    <w:rsid w:val="00B72637"/>
    <w:rsid w:val="00B807F8"/>
    <w:rsid w:val="00B85050"/>
    <w:rsid w:val="00B867C7"/>
    <w:rsid w:val="00BA37D0"/>
    <w:rsid w:val="00BB2D4F"/>
    <w:rsid w:val="00BF2739"/>
    <w:rsid w:val="00BF3FD8"/>
    <w:rsid w:val="00C05D61"/>
    <w:rsid w:val="00C138AA"/>
    <w:rsid w:val="00C25579"/>
    <w:rsid w:val="00C32DB3"/>
    <w:rsid w:val="00C36E5A"/>
    <w:rsid w:val="00C40331"/>
    <w:rsid w:val="00C817A4"/>
    <w:rsid w:val="00CB024B"/>
    <w:rsid w:val="00CB07B3"/>
    <w:rsid w:val="00CB1ED3"/>
    <w:rsid w:val="00CD123E"/>
    <w:rsid w:val="00CD5088"/>
    <w:rsid w:val="00CE3775"/>
    <w:rsid w:val="00CF4019"/>
    <w:rsid w:val="00CF4DEB"/>
    <w:rsid w:val="00CF705C"/>
    <w:rsid w:val="00D13E3B"/>
    <w:rsid w:val="00D15C0F"/>
    <w:rsid w:val="00D27DB0"/>
    <w:rsid w:val="00D5765A"/>
    <w:rsid w:val="00D601B6"/>
    <w:rsid w:val="00D63FAC"/>
    <w:rsid w:val="00D932FD"/>
    <w:rsid w:val="00D959CB"/>
    <w:rsid w:val="00D9626D"/>
    <w:rsid w:val="00DA3E43"/>
    <w:rsid w:val="00DA684D"/>
    <w:rsid w:val="00DB2EFF"/>
    <w:rsid w:val="00DB33FD"/>
    <w:rsid w:val="00DC7ED7"/>
    <w:rsid w:val="00DD1434"/>
    <w:rsid w:val="00DD1B27"/>
    <w:rsid w:val="00DD1B8F"/>
    <w:rsid w:val="00DD5F53"/>
    <w:rsid w:val="00DE7F10"/>
    <w:rsid w:val="00DF46AE"/>
    <w:rsid w:val="00DF5C29"/>
    <w:rsid w:val="00E00730"/>
    <w:rsid w:val="00E013CE"/>
    <w:rsid w:val="00E14893"/>
    <w:rsid w:val="00E21232"/>
    <w:rsid w:val="00E2185E"/>
    <w:rsid w:val="00E4131C"/>
    <w:rsid w:val="00E41897"/>
    <w:rsid w:val="00E510BA"/>
    <w:rsid w:val="00E53C4D"/>
    <w:rsid w:val="00E72F4E"/>
    <w:rsid w:val="00E90653"/>
    <w:rsid w:val="00E907D5"/>
    <w:rsid w:val="00EA4FE7"/>
    <w:rsid w:val="00EB07F5"/>
    <w:rsid w:val="00EB3A4A"/>
    <w:rsid w:val="00EB70E0"/>
    <w:rsid w:val="00EB7C04"/>
    <w:rsid w:val="00EC3593"/>
    <w:rsid w:val="00EE4518"/>
    <w:rsid w:val="00EF764A"/>
    <w:rsid w:val="00F01A42"/>
    <w:rsid w:val="00F02D39"/>
    <w:rsid w:val="00F03C5E"/>
    <w:rsid w:val="00F04FB7"/>
    <w:rsid w:val="00F213E7"/>
    <w:rsid w:val="00F4046E"/>
    <w:rsid w:val="00F4230E"/>
    <w:rsid w:val="00F430EB"/>
    <w:rsid w:val="00F91254"/>
    <w:rsid w:val="00F9340B"/>
    <w:rsid w:val="00FA5BA7"/>
    <w:rsid w:val="00FA6F44"/>
    <w:rsid w:val="00FB1296"/>
    <w:rsid w:val="00FB611F"/>
    <w:rsid w:val="00FB786A"/>
    <w:rsid w:val="00FD0E5A"/>
    <w:rsid w:val="00FE7E91"/>
    <w:rsid w:val="00FF76BA"/>
    <w:rsid w:val="6DE7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BA89A3"/>
  <w15:docId w15:val="{24F4286A-C6C0-4EFB-8CA6-AAFA62FC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55B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326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link w:val="Overskrift3Tegn"/>
    <w:qFormat/>
    <w:rsid w:val="003265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32655B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3Tegn">
    <w:name w:val="Overskrift 3 Tegn"/>
    <w:link w:val="Overskrift3"/>
    <w:rsid w:val="0032655B"/>
    <w:rPr>
      <w:rFonts w:ascii="Arial" w:eastAsia="Times New Roman" w:hAnsi="Arial" w:cs="Arial"/>
      <w:b/>
      <w:bCs/>
      <w:sz w:val="26"/>
      <w:szCs w:val="26"/>
      <w:lang w:eastAsia="nb-NO"/>
    </w:rPr>
  </w:style>
  <w:style w:type="paragraph" w:styleId="Topptekst">
    <w:name w:val="header"/>
    <w:basedOn w:val="Normal"/>
    <w:link w:val="TopptekstTegn"/>
    <w:rsid w:val="0032655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rsid w:val="0032655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2655B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32655B"/>
  </w:style>
  <w:style w:type="character" w:styleId="Hyperkobling">
    <w:name w:val="Hyperlink"/>
    <w:rsid w:val="0032655B"/>
    <w:rPr>
      <w:color w:val="0000FF"/>
      <w:u w:val="single"/>
    </w:rPr>
  </w:style>
  <w:style w:type="table" w:styleId="Tabellrutenett">
    <w:name w:val="Table Grid"/>
    <w:basedOn w:val="Vanligtabell"/>
    <w:rsid w:val="003265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semiHidden/>
    <w:rsid w:val="0032655B"/>
    <w:rPr>
      <w:sz w:val="20"/>
    </w:rPr>
  </w:style>
  <w:style w:type="character" w:customStyle="1" w:styleId="FotnotetekstTegn">
    <w:name w:val="Fotnotetekst Tegn"/>
    <w:link w:val="Fotnotetekst"/>
    <w:semiHidden/>
    <w:rsid w:val="0032655B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semiHidden/>
    <w:rsid w:val="0032655B"/>
    <w:rPr>
      <w:vertAlign w:val="superscript"/>
    </w:rPr>
  </w:style>
  <w:style w:type="paragraph" w:customStyle="1" w:styleId="Normal1">
    <w:name w:val="Normal+1"/>
    <w:basedOn w:val="Normal"/>
    <w:next w:val="Normal"/>
    <w:rsid w:val="0032655B"/>
    <w:pPr>
      <w:autoSpaceDE w:val="0"/>
      <w:autoSpaceDN w:val="0"/>
      <w:adjustRightInd w:val="0"/>
    </w:pPr>
    <w:rPr>
      <w:szCs w:val="24"/>
    </w:rPr>
  </w:style>
  <w:style w:type="paragraph" w:styleId="Bobletekst">
    <w:name w:val="Balloon Text"/>
    <w:basedOn w:val="Normal"/>
    <w:semiHidden/>
    <w:rsid w:val="00691512"/>
    <w:rPr>
      <w:rFonts w:ascii="Tahoma" w:hAnsi="Tahoma" w:cs="Tahoma"/>
      <w:sz w:val="16"/>
      <w:szCs w:val="16"/>
    </w:rPr>
  </w:style>
  <w:style w:type="paragraph" w:styleId="Listeavsnitt">
    <w:name w:val="List Paragraph"/>
    <w:aliases w:val="Punktavsnitt"/>
    <w:basedOn w:val="Normal"/>
    <w:link w:val="ListeavsnittTegn"/>
    <w:uiPriority w:val="34"/>
    <w:qFormat/>
    <w:rsid w:val="000606B2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606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8A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8AA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8AA"/>
    <w:rPr>
      <w:rFonts w:ascii="Times New Roman" w:eastAsia="Times New Roman" w:hAnsi="Times New Roman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8A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8AA"/>
    <w:rPr>
      <w:rFonts w:ascii="Times New Roman" w:eastAsia="Times New Roman" w:hAnsi="Times New Roman"/>
      <w:b/>
      <w:bCs/>
    </w:rPr>
  </w:style>
  <w:style w:type="character" w:styleId="Ulstomtale">
    <w:name w:val="Unresolved Mention"/>
    <w:basedOn w:val="Standardskriftforavsnitt"/>
    <w:uiPriority w:val="99"/>
    <w:semiHidden/>
    <w:unhideWhenUsed/>
    <w:rsid w:val="006F312B"/>
    <w:rPr>
      <w:color w:val="605E5C"/>
      <w:shd w:val="clear" w:color="auto" w:fill="E1DFDD"/>
    </w:rPr>
  </w:style>
  <w:style w:type="character" w:customStyle="1" w:styleId="ListeavsnittTegn">
    <w:name w:val="Listeavsnitt Tegn"/>
    <w:aliases w:val="Punktavsnitt Tegn"/>
    <w:basedOn w:val="Standardskriftforavsnitt"/>
    <w:link w:val="Listeavsnitt"/>
    <w:uiPriority w:val="34"/>
    <w:rsid w:val="0001782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jeringa.no/id290415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jeringen.no/contentassets/fd8d0dff9a594a81a5960bc4d15f9cac/instituttstrategi.pdf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.landstad@abelia.no" TargetMode="External"/><Relationship Id="rId2" Type="http://schemas.openxmlformats.org/officeDocument/2006/relationships/hyperlink" Target="https://www.abelia.no/bransjeforeninger/ffa-forskningsinstituttenes-fellesarena/" TargetMode="External"/><Relationship Id="rId1" Type="http://schemas.openxmlformats.org/officeDocument/2006/relationships/hyperlink" Target="mailto:agnes.landstad@abelia.no" TargetMode="External"/><Relationship Id="rId4" Type="http://schemas.openxmlformats.org/officeDocument/2006/relationships/hyperlink" Target="https://www.abelia.no/bransjeforeninger/ffa-forskningsinstituttenes-fellesarena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5106-F007-47E1-A7D7-E675BF13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1448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Kunnskapsdepartementet</vt:lpstr>
    </vt:vector>
  </TitlesOfParts>
  <Company>NINA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Kunnskapsdepartementet</dc:title>
  <dc:creator>Gunnar Jordfald</dc:creator>
  <cp:lastModifiedBy>Agnes Landstad</cp:lastModifiedBy>
  <cp:revision>3</cp:revision>
  <cp:lastPrinted>2015-04-22T07:47:00Z</cp:lastPrinted>
  <dcterms:created xsi:type="dcterms:W3CDTF">2022-06-07T08:48:00Z</dcterms:created>
  <dcterms:modified xsi:type="dcterms:W3CDTF">2022-06-07T12:14:00Z</dcterms:modified>
</cp:coreProperties>
</file>