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9BEC18" w14:textId="1096A51C" w:rsidR="009A2161" w:rsidRDefault="00284D3B" w:rsidP="00874D10">
      <w:pPr>
        <w:rPr>
          <w:rFonts w:ascii="Calibri" w:hAnsi="Calibri" w:cs="Calibri"/>
          <w:b/>
          <w:sz w:val="22"/>
          <w:szCs w:val="22"/>
          <w:lang w:val="nn-NO"/>
        </w:rPr>
      </w:pPr>
      <w:r w:rsidRPr="00284D3B">
        <w:rPr>
          <w:rFonts w:asciiTheme="minorHAnsi" w:hAnsiTheme="minorHAnsi" w:cstheme="minorHAnsi"/>
          <w:b/>
          <w:sz w:val="22"/>
          <w:szCs w:val="22"/>
          <w:lang w:val="nn-NO"/>
        </w:rPr>
        <w:t>Stortingets Næringskomite</w:t>
      </w:r>
      <w:r w:rsidR="009A2161">
        <w:rPr>
          <w:rFonts w:ascii="Calibri" w:hAnsi="Calibri" w:cs="Calibri"/>
          <w:b/>
          <w:sz w:val="22"/>
          <w:szCs w:val="22"/>
          <w:lang w:val="nn-NO"/>
        </w:rPr>
        <w:tab/>
      </w:r>
    </w:p>
    <w:p w14:paraId="19603401" w14:textId="372762CB" w:rsidR="00691512" w:rsidRPr="00262E46" w:rsidRDefault="00806BDE" w:rsidP="00874D10">
      <w:pPr>
        <w:rPr>
          <w:lang w:val="nn-NO"/>
        </w:rPr>
      </w:pPr>
      <w:r w:rsidRPr="00262E46">
        <w:rPr>
          <w:lang w:val="nn-NO"/>
        </w:rPr>
        <w:tab/>
      </w:r>
      <w:r w:rsidRPr="00262E46">
        <w:rPr>
          <w:lang w:val="nn-NO"/>
        </w:rPr>
        <w:tab/>
      </w:r>
      <w:r w:rsidRPr="00262E46">
        <w:rPr>
          <w:lang w:val="nn-NO"/>
        </w:rPr>
        <w:tab/>
      </w:r>
    </w:p>
    <w:p w14:paraId="1AB7D37F" w14:textId="6845DDEF" w:rsidR="00691512" w:rsidRPr="001D252C" w:rsidRDefault="00806BDE" w:rsidP="00691512">
      <w:pPr>
        <w:rPr>
          <w:rFonts w:ascii="Calibri" w:hAnsi="Calibri" w:cs="Calibri"/>
          <w:sz w:val="20"/>
          <w:lang w:val="nn-NO"/>
        </w:rPr>
      </w:pP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00742A02" w:rsidRPr="00262E46">
        <w:rPr>
          <w:lang w:val="nn-NO"/>
        </w:rPr>
        <w:t xml:space="preserve">         </w:t>
      </w:r>
      <w:r w:rsidR="00284D3B" w:rsidRPr="001D252C">
        <w:rPr>
          <w:rFonts w:ascii="Calibri" w:hAnsi="Calibri" w:cs="Calibri"/>
          <w:sz w:val="20"/>
          <w:lang w:val="nn-NO"/>
        </w:rPr>
        <w:t>Oslo, 12.10.2020</w:t>
      </w:r>
    </w:p>
    <w:p w14:paraId="19396D68" w14:textId="77777777" w:rsidR="00806BDE" w:rsidRPr="004B4F9D" w:rsidRDefault="00806BDE" w:rsidP="00691512">
      <w:pPr>
        <w:rPr>
          <w:lang w:val="nn-NO"/>
        </w:rPr>
      </w:pPr>
    </w:p>
    <w:p w14:paraId="4CFEFBEA" w14:textId="21C6B069" w:rsidR="00284D3B" w:rsidRPr="00284D3B" w:rsidRDefault="00A26A85" w:rsidP="00284D3B">
      <w:pPr>
        <w:rPr>
          <w:rFonts w:asciiTheme="minorHAnsi" w:hAnsiTheme="minorHAnsi" w:cstheme="minorHAnsi"/>
          <w:b/>
          <w:sz w:val="22"/>
          <w:szCs w:val="22"/>
        </w:rPr>
      </w:pPr>
      <w:r>
        <w:rPr>
          <w:rFonts w:ascii="Calibri" w:hAnsi="Calibri" w:cs="Calibri"/>
          <w:b/>
          <w:bCs/>
          <w:color w:val="244061" w:themeColor="accent1" w:themeShade="80"/>
          <w:kern w:val="32"/>
          <w:sz w:val="32"/>
          <w:szCs w:val="32"/>
        </w:rPr>
        <w:t xml:space="preserve">Innspill til </w:t>
      </w:r>
      <w:r w:rsidR="00284D3B" w:rsidRPr="00A26A85">
        <w:rPr>
          <w:rFonts w:ascii="Calibri" w:hAnsi="Calibri" w:cs="Calibri"/>
          <w:b/>
          <w:bCs/>
          <w:color w:val="244061" w:themeColor="accent1" w:themeShade="80"/>
          <w:kern w:val="32"/>
          <w:sz w:val="32"/>
          <w:szCs w:val="32"/>
        </w:rPr>
        <w:t xml:space="preserve">statsbudsjett 2021 </w:t>
      </w:r>
      <w:r>
        <w:rPr>
          <w:rFonts w:ascii="Calibri" w:hAnsi="Calibri" w:cs="Calibri"/>
          <w:b/>
          <w:bCs/>
          <w:color w:val="244061" w:themeColor="accent1" w:themeShade="80"/>
          <w:kern w:val="32"/>
          <w:sz w:val="32"/>
          <w:szCs w:val="32"/>
        </w:rPr>
        <w:t>fra FFA, forskningsinstituttene</w:t>
      </w:r>
    </w:p>
    <w:p w14:paraId="6D131BDE" w14:textId="77777777" w:rsidR="00284D3B" w:rsidRPr="00284D3B" w:rsidRDefault="00284D3B" w:rsidP="00284D3B">
      <w:pPr>
        <w:rPr>
          <w:color w:val="FF0000"/>
        </w:rPr>
      </w:pPr>
      <w:r w:rsidRPr="00284D3B">
        <w:rPr>
          <w:color w:val="FF0000"/>
        </w:rPr>
        <w:tab/>
      </w:r>
    </w:p>
    <w:p w14:paraId="7D2FD8B5" w14:textId="677B0C8B" w:rsidR="00284D3B" w:rsidRPr="00284D3B" w:rsidRDefault="00284D3B" w:rsidP="00284D3B">
      <w:pPr>
        <w:spacing w:line="276" w:lineRule="auto"/>
        <w:rPr>
          <w:rFonts w:asciiTheme="minorHAnsi" w:hAnsiTheme="minorHAnsi" w:cstheme="minorHAnsi"/>
          <w:sz w:val="20"/>
          <w:lang w:val="nn-NO"/>
        </w:rPr>
      </w:pPr>
      <w:r w:rsidRPr="00284D3B">
        <w:rPr>
          <w:rFonts w:asciiTheme="minorHAnsi" w:hAnsiTheme="minorHAnsi" w:cstheme="minorHAnsi"/>
          <w:sz w:val="20"/>
          <w:lang w:val="nn-NO"/>
        </w:rPr>
        <w:t xml:space="preserve">Vi viser til vår anmodning om å møte i komiteens budsjetthøring og vil med dette kommentere </w:t>
      </w:r>
      <w:r w:rsidR="001D252C">
        <w:rPr>
          <w:rFonts w:asciiTheme="minorHAnsi" w:hAnsiTheme="minorHAnsi" w:cstheme="minorHAnsi"/>
          <w:sz w:val="20"/>
          <w:lang w:val="nn-NO"/>
        </w:rPr>
        <w:t>r</w:t>
      </w:r>
      <w:r w:rsidRPr="00284D3B">
        <w:rPr>
          <w:rFonts w:asciiTheme="minorHAnsi" w:hAnsiTheme="minorHAnsi" w:cstheme="minorHAnsi"/>
          <w:sz w:val="20"/>
          <w:lang w:val="nn-NO"/>
        </w:rPr>
        <w:t xml:space="preserve">egjeringens budsjettforslag Programkategori 17.20 Forskning og innovasjon, Kap. 920 Norges Forskningsråd, post 50. </w:t>
      </w:r>
    </w:p>
    <w:p w14:paraId="2F999D94" w14:textId="77777777" w:rsidR="00284D3B" w:rsidRPr="00284D3B" w:rsidRDefault="00284D3B" w:rsidP="00284D3B">
      <w:pPr>
        <w:rPr>
          <w:rFonts w:asciiTheme="minorHAnsi" w:hAnsiTheme="minorHAnsi" w:cstheme="minorHAnsi"/>
          <w:sz w:val="20"/>
          <w:lang w:val="nn-NO"/>
        </w:rPr>
      </w:pPr>
    </w:p>
    <w:p w14:paraId="333EFA21" w14:textId="02AACB05" w:rsidR="00284D3B" w:rsidRPr="00284D3B" w:rsidRDefault="00284D3B" w:rsidP="00284D3B">
      <w:pPr>
        <w:rPr>
          <w:rFonts w:asciiTheme="minorHAnsi" w:hAnsiTheme="minorHAnsi" w:cstheme="minorHAnsi"/>
          <w:sz w:val="20"/>
        </w:rPr>
      </w:pPr>
      <w:r w:rsidRPr="00284D3B">
        <w:rPr>
          <w:rFonts w:asciiTheme="minorHAnsi" w:hAnsiTheme="minorHAnsi" w:cstheme="minorHAnsi"/>
          <w:sz w:val="20"/>
          <w:lang w:val="nn-NO"/>
        </w:rPr>
        <w:t xml:space="preserve">FFA er glad for at regjeringen i forslag til Statsbudsjett 2021 øker totalbevilgningen til FoU fra 2020 med 2 mrd kr, til 1,1% av BNP. </w:t>
      </w:r>
      <w:r w:rsidR="001D252C">
        <w:rPr>
          <w:rFonts w:asciiTheme="minorHAnsi" w:hAnsiTheme="minorHAnsi" w:cstheme="minorHAnsi"/>
          <w:sz w:val="20"/>
        </w:rPr>
        <w:t>E</w:t>
      </w:r>
      <w:r w:rsidRPr="00284D3B">
        <w:rPr>
          <w:rFonts w:asciiTheme="minorHAnsi" w:hAnsiTheme="minorHAnsi" w:cstheme="minorHAnsi"/>
          <w:sz w:val="20"/>
        </w:rPr>
        <w:t xml:space="preserve">n vekst i bevilgningen til Forskningsrådet på 0,8% på Næringsdepartementets budsjett, er likevel foruroligende lite. </w:t>
      </w:r>
    </w:p>
    <w:p w14:paraId="120E82C8" w14:textId="77777777" w:rsidR="00284D3B" w:rsidRPr="00284D3B" w:rsidRDefault="00284D3B" w:rsidP="00284D3B">
      <w:pPr>
        <w:rPr>
          <w:rFonts w:asciiTheme="minorHAnsi" w:hAnsiTheme="minorHAnsi" w:cstheme="minorHAnsi"/>
          <w:sz w:val="20"/>
        </w:rPr>
      </w:pPr>
    </w:p>
    <w:p w14:paraId="51BBEE60" w14:textId="77777777" w:rsidR="00284D3B" w:rsidRPr="00284D3B" w:rsidRDefault="00284D3B" w:rsidP="00284D3B">
      <w:pPr>
        <w:rPr>
          <w:rFonts w:asciiTheme="minorHAnsi" w:hAnsiTheme="minorHAnsi" w:cstheme="minorHAnsi"/>
          <w:sz w:val="20"/>
        </w:rPr>
      </w:pPr>
      <w:r w:rsidRPr="00284D3B">
        <w:rPr>
          <w:rFonts w:asciiTheme="minorHAnsi" w:hAnsiTheme="minorHAnsi" w:cstheme="minorHAnsi"/>
          <w:sz w:val="20"/>
        </w:rPr>
        <w:t>FFA vil framheve regjeringens satsing på Grønn Plattform, europeisk forsknings- og innovasjonssamarbeid og økningen i grunnfinansiering til de teknisk-industrielle instituttene som særdeles viktige elementer i regjeringens statsbudsjett. Vi ser økning i grunnfinansiering som ledd i en opptrappingsplan som også må omfatte grunnfinansieringen til de øvrige forskningsinstituttene på Næringsdepartementets budsjett.</w:t>
      </w:r>
    </w:p>
    <w:p w14:paraId="31B4A9CC" w14:textId="77777777" w:rsidR="00284D3B" w:rsidRPr="00284D3B" w:rsidRDefault="00284D3B" w:rsidP="00284D3B">
      <w:pPr>
        <w:rPr>
          <w:rFonts w:asciiTheme="minorHAnsi" w:hAnsiTheme="minorHAnsi" w:cstheme="minorHAnsi"/>
          <w:sz w:val="20"/>
        </w:rPr>
      </w:pPr>
    </w:p>
    <w:p w14:paraId="52AF6932" w14:textId="1D063CF5" w:rsidR="00284D3B" w:rsidRPr="00284D3B" w:rsidRDefault="00284D3B" w:rsidP="00284D3B">
      <w:pPr>
        <w:rPr>
          <w:rFonts w:asciiTheme="minorHAnsi" w:hAnsiTheme="minorHAnsi" w:cstheme="minorHAnsi"/>
          <w:sz w:val="20"/>
        </w:rPr>
      </w:pPr>
      <w:r w:rsidRPr="00284D3B">
        <w:rPr>
          <w:rFonts w:asciiTheme="minorHAnsi" w:hAnsiTheme="minorHAnsi" w:cstheme="minorHAnsi"/>
          <w:sz w:val="20"/>
        </w:rPr>
        <w:t>Effektene av korona-pandemien slår inn for deler av næringslivet og for forskningsinstituttene også i 2021. Tiltakspakkene som er innført i 2020 har god effekt både i næringslivet og forskningsinstituttene. Derfor er Grønn Plattform som skal gå over 3 år særdeles viktig. I tillegg er det behov for en ekstraordinær styrking av både grunnfinansiering for forskningsinstituttene og av den næringsrettede forskningsinnsatsen i Forskningsrådet i 2021 for å fornye og legge grunnlaget for grønn og bærekraftig vekst i næringslivet.</w:t>
      </w:r>
    </w:p>
    <w:p w14:paraId="2E637A02" w14:textId="77777777" w:rsidR="00284D3B" w:rsidRPr="00284D3B" w:rsidRDefault="00284D3B" w:rsidP="00284D3B">
      <w:pPr>
        <w:rPr>
          <w:rFonts w:asciiTheme="minorHAnsi" w:hAnsiTheme="minorHAnsi" w:cstheme="minorHAnsi"/>
          <w:sz w:val="20"/>
        </w:rPr>
      </w:pPr>
    </w:p>
    <w:p w14:paraId="394C6635" w14:textId="77777777" w:rsidR="00284D3B" w:rsidRPr="00284D3B" w:rsidRDefault="00284D3B" w:rsidP="00284D3B">
      <w:pPr>
        <w:rPr>
          <w:rFonts w:asciiTheme="minorHAnsi" w:hAnsiTheme="minorHAnsi" w:cstheme="minorHAnsi"/>
          <w:b/>
          <w:bCs/>
          <w:sz w:val="20"/>
        </w:rPr>
      </w:pPr>
      <w:r w:rsidRPr="00284D3B">
        <w:rPr>
          <w:rFonts w:asciiTheme="minorHAnsi" w:hAnsiTheme="minorHAnsi" w:cstheme="minorHAnsi"/>
          <w:b/>
          <w:bCs/>
          <w:sz w:val="20"/>
        </w:rPr>
        <w:t>FFA er godt fornøyd med følgende i budsjettforslaget:</w:t>
      </w:r>
    </w:p>
    <w:p w14:paraId="42F9E408" w14:textId="77777777" w:rsidR="00284D3B" w:rsidRPr="00284D3B" w:rsidRDefault="00284D3B" w:rsidP="00284D3B">
      <w:pPr>
        <w:numPr>
          <w:ilvl w:val="0"/>
          <w:numId w:val="29"/>
        </w:numPr>
        <w:rPr>
          <w:rFonts w:asciiTheme="minorHAnsi" w:eastAsiaTheme="minorHAnsi" w:hAnsiTheme="minorHAnsi" w:cstheme="minorHAnsi"/>
          <w:sz w:val="20"/>
          <w:szCs w:val="22"/>
          <w:lang w:eastAsia="en-US"/>
        </w:rPr>
      </w:pPr>
      <w:r w:rsidRPr="00284D3B">
        <w:rPr>
          <w:rFonts w:asciiTheme="minorHAnsi" w:eastAsiaTheme="minorHAnsi" w:hAnsiTheme="minorHAnsi" w:cstheme="minorHAnsi"/>
          <w:sz w:val="20"/>
          <w:szCs w:val="22"/>
          <w:lang w:eastAsia="en-US"/>
        </w:rPr>
        <w:t xml:space="preserve">Regjeringen øker basisbevilgningen til de teknisk-industrielle instituttene med 50 mill kr. Veksten er avgjørende for at disse forskningsinstituttene skal utvikle langsiktig kunnskap for og med framtidas næringsliv og legge grunnlaget for bærekraftig vekst, økt verdiskaping og nye arbeidsplasser. Veksten i grunnfinansiering til instituttene må trappes opp til internasjonalt nivå de neste 5 årene. </w:t>
      </w:r>
    </w:p>
    <w:p w14:paraId="07ADEC83" w14:textId="2FFA6181" w:rsidR="00284D3B" w:rsidRPr="00284D3B" w:rsidRDefault="00284D3B" w:rsidP="00284D3B">
      <w:pPr>
        <w:numPr>
          <w:ilvl w:val="0"/>
          <w:numId w:val="29"/>
        </w:numPr>
        <w:rPr>
          <w:rFonts w:asciiTheme="minorHAnsi" w:eastAsiaTheme="minorHAnsi" w:hAnsiTheme="minorHAnsi" w:cstheme="minorHAnsi"/>
          <w:sz w:val="20"/>
          <w:szCs w:val="22"/>
          <w:lang w:eastAsia="en-US"/>
        </w:rPr>
      </w:pPr>
      <w:r w:rsidRPr="00284D3B">
        <w:rPr>
          <w:rFonts w:asciiTheme="minorHAnsi" w:eastAsiaTheme="minorHAnsi" w:hAnsiTheme="minorHAnsi" w:cstheme="minorHAnsi"/>
          <w:sz w:val="20"/>
          <w:szCs w:val="22"/>
          <w:lang w:eastAsia="en-US"/>
        </w:rPr>
        <w:t>Grønn Plattform med 1 mrd kr over 3 år er en særdeles viktig satsing. Forskning og teknologiutvikling er avgjørende for å få til den omstillingen som vi alle er avhengige av. Forskningsinstituttene samarbeider tett med næringslivet og samfunnet for øvrig i denne omstillingen</w:t>
      </w:r>
      <w:r w:rsidR="007128F3" w:rsidRPr="00A803C4">
        <w:rPr>
          <w:rFonts w:asciiTheme="minorHAnsi" w:eastAsiaTheme="minorHAnsi" w:hAnsiTheme="minorHAnsi" w:cstheme="minorHAnsi"/>
          <w:sz w:val="20"/>
          <w:szCs w:val="22"/>
          <w:lang w:eastAsia="en-US"/>
        </w:rPr>
        <w:t xml:space="preserve"> og er</w:t>
      </w:r>
      <w:r w:rsidRPr="00284D3B">
        <w:rPr>
          <w:rFonts w:asciiTheme="minorHAnsi" w:eastAsiaTheme="minorHAnsi" w:hAnsiTheme="minorHAnsi" w:cstheme="minorHAnsi"/>
          <w:sz w:val="20"/>
          <w:szCs w:val="22"/>
          <w:lang w:eastAsia="en-US"/>
        </w:rPr>
        <w:t xml:space="preserve"> kunnskapsmotoren i samspillet</w:t>
      </w:r>
      <w:r w:rsidR="007128F3" w:rsidRPr="00A803C4">
        <w:rPr>
          <w:rFonts w:asciiTheme="minorHAnsi" w:eastAsiaTheme="minorHAnsi" w:hAnsiTheme="minorHAnsi" w:cstheme="minorHAnsi"/>
          <w:sz w:val="20"/>
          <w:szCs w:val="22"/>
          <w:lang w:eastAsia="en-US"/>
        </w:rPr>
        <w:t>.</w:t>
      </w:r>
    </w:p>
    <w:p w14:paraId="36571CC1" w14:textId="19DBF310" w:rsidR="00284D3B" w:rsidRPr="00A803C4" w:rsidRDefault="00284D3B" w:rsidP="00A803C4">
      <w:pPr>
        <w:pStyle w:val="ListParagraph"/>
        <w:numPr>
          <w:ilvl w:val="0"/>
          <w:numId w:val="29"/>
        </w:numPr>
        <w:rPr>
          <w:rFonts w:asciiTheme="minorHAnsi" w:eastAsiaTheme="minorHAnsi" w:hAnsiTheme="minorHAnsi" w:cstheme="minorHAnsi"/>
          <w:sz w:val="20"/>
        </w:rPr>
      </w:pPr>
      <w:r w:rsidRPr="00A803C4">
        <w:rPr>
          <w:rFonts w:asciiTheme="minorHAnsi" w:eastAsiaTheme="minorHAnsi" w:hAnsiTheme="minorHAnsi" w:cstheme="minorHAnsi"/>
          <w:sz w:val="20"/>
        </w:rPr>
        <w:t xml:space="preserve">Det er positivt for Norges grønne skifte at regjeringen nå satser på norsk deltagelse i EUs forskning- og innovasjonsprogram Horisont Europa og at ambisjonen for deltagelse øker fra 2,5% til 3,0%. De næringsrettede instituttene er den viktigste norske samarbeidspartneren for bedriftene i dette samarbeidet. Forskningsinstituttene tilbyr næringslivet og det offentlige god kompetanse og forskningstjenester av høy internasjonal kvalitet. </w:t>
      </w:r>
      <w:r w:rsidR="004D289C" w:rsidRPr="00A803C4">
        <w:rPr>
          <w:rFonts w:asciiTheme="minorHAnsi" w:eastAsiaTheme="minorHAnsi" w:hAnsiTheme="minorHAnsi" w:cstheme="minorHAnsi"/>
          <w:sz w:val="20"/>
        </w:rPr>
        <w:t xml:space="preserve">Kommisjonen dekker kun 60% av forskningsmiljøenes kostnader. Den </w:t>
      </w:r>
      <w:r w:rsidR="00B5397D">
        <w:rPr>
          <w:rFonts w:asciiTheme="minorHAnsi" w:eastAsiaTheme="minorHAnsi" w:hAnsiTheme="minorHAnsi" w:cstheme="minorHAnsi"/>
          <w:sz w:val="20"/>
        </w:rPr>
        <w:t>differensierte</w:t>
      </w:r>
      <w:r w:rsidR="004D289C" w:rsidRPr="00A803C4">
        <w:rPr>
          <w:rFonts w:asciiTheme="minorHAnsi" w:eastAsiaTheme="minorHAnsi" w:hAnsiTheme="minorHAnsi" w:cstheme="minorHAnsi"/>
          <w:sz w:val="20"/>
        </w:rPr>
        <w:t xml:space="preserve"> STIM-EU ordningen</w:t>
      </w:r>
      <w:r w:rsidR="00F65E24">
        <w:rPr>
          <w:rFonts w:asciiTheme="minorHAnsi" w:eastAsiaTheme="minorHAnsi" w:hAnsiTheme="minorHAnsi" w:cstheme="minorHAnsi"/>
          <w:sz w:val="20"/>
        </w:rPr>
        <w:t xml:space="preserve"> som ble innført for 2019 og 2020</w:t>
      </w:r>
      <w:r w:rsidR="004D289C" w:rsidRPr="00A803C4">
        <w:rPr>
          <w:rFonts w:asciiTheme="minorHAnsi" w:eastAsiaTheme="minorHAnsi" w:hAnsiTheme="minorHAnsi" w:cstheme="minorHAnsi"/>
          <w:sz w:val="20"/>
        </w:rPr>
        <w:t xml:space="preserve"> gir opptil 90% kostnadsdekning</w:t>
      </w:r>
      <w:r w:rsidR="009425BA">
        <w:rPr>
          <w:rFonts w:asciiTheme="minorHAnsi" w:eastAsiaTheme="minorHAnsi" w:hAnsiTheme="minorHAnsi" w:cstheme="minorHAnsi"/>
          <w:sz w:val="20"/>
        </w:rPr>
        <w:t xml:space="preserve"> for instituttene</w:t>
      </w:r>
      <w:r w:rsidR="004D289C" w:rsidRPr="00A803C4">
        <w:rPr>
          <w:rFonts w:asciiTheme="minorHAnsi" w:eastAsiaTheme="minorHAnsi" w:hAnsiTheme="minorHAnsi" w:cstheme="minorHAnsi"/>
          <w:sz w:val="20"/>
        </w:rPr>
        <w:t xml:space="preserve">. </w:t>
      </w:r>
      <w:r w:rsidR="009425BA">
        <w:rPr>
          <w:rFonts w:asciiTheme="minorHAnsi" w:eastAsiaTheme="minorHAnsi" w:hAnsiTheme="minorHAnsi" w:cstheme="minorHAnsi"/>
          <w:sz w:val="20"/>
        </w:rPr>
        <w:t>Den er en nødvendighet for at</w:t>
      </w:r>
      <w:r w:rsidR="004D289C" w:rsidRPr="00A803C4">
        <w:rPr>
          <w:rFonts w:asciiTheme="minorHAnsi" w:eastAsiaTheme="minorHAnsi" w:hAnsiTheme="minorHAnsi" w:cstheme="minorHAnsi"/>
          <w:sz w:val="20"/>
        </w:rPr>
        <w:t xml:space="preserve"> instituttene </w:t>
      </w:r>
      <w:r w:rsidR="009425BA">
        <w:rPr>
          <w:rFonts w:asciiTheme="minorHAnsi" w:eastAsiaTheme="minorHAnsi" w:hAnsiTheme="minorHAnsi" w:cstheme="minorHAnsi"/>
          <w:sz w:val="20"/>
        </w:rPr>
        <w:t xml:space="preserve">kan </w:t>
      </w:r>
      <w:r w:rsidR="004D289C" w:rsidRPr="00A803C4">
        <w:rPr>
          <w:rFonts w:asciiTheme="minorHAnsi" w:eastAsiaTheme="minorHAnsi" w:hAnsiTheme="minorHAnsi" w:cstheme="minorHAnsi"/>
          <w:sz w:val="20"/>
        </w:rPr>
        <w:t xml:space="preserve">ta på seg å være den motoren i norsk næringslivs EU-deltakelse som de er. </w:t>
      </w:r>
      <w:r w:rsidR="009425BA">
        <w:rPr>
          <w:rFonts w:asciiTheme="minorHAnsi" w:eastAsiaTheme="minorHAnsi" w:hAnsiTheme="minorHAnsi" w:cstheme="minorHAnsi"/>
          <w:sz w:val="20"/>
        </w:rPr>
        <w:t>Uten de</w:t>
      </w:r>
      <w:r w:rsidR="007309F1">
        <w:rPr>
          <w:rFonts w:asciiTheme="minorHAnsi" w:eastAsiaTheme="minorHAnsi" w:hAnsiTheme="minorHAnsi" w:cstheme="minorHAnsi"/>
          <w:sz w:val="20"/>
        </w:rPr>
        <w:t>n vil det</w:t>
      </w:r>
      <w:r w:rsidR="004D289C" w:rsidRPr="00A803C4">
        <w:rPr>
          <w:rFonts w:asciiTheme="minorHAnsi" w:eastAsiaTheme="minorHAnsi" w:hAnsiTheme="minorHAnsi" w:cstheme="minorHAnsi"/>
          <w:sz w:val="20"/>
        </w:rPr>
        <w:t xml:space="preserve"> bli meget krevende for Norge å få den fulle nytten av norsk deltakelse. </w:t>
      </w:r>
    </w:p>
    <w:p w14:paraId="46F6F6AC" w14:textId="1C322BE2" w:rsidR="00284D3B" w:rsidRPr="00284D3B" w:rsidRDefault="00284D3B" w:rsidP="00284D3B">
      <w:pPr>
        <w:numPr>
          <w:ilvl w:val="0"/>
          <w:numId w:val="29"/>
        </w:numPr>
        <w:rPr>
          <w:rFonts w:asciiTheme="minorHAnsi" w:eastAsiaTheme="minorHAnsi" w:hAnsiTheme="minorHAnsi" w:cstheme="minorHAnsi"/>
          <w:sz w:val="20"/>
          <w:szCs w:val="22"/>
          <w:lang w:eastAsia="en-US"/>
        </w:rPr>
      </w:pPr>
      <w:r w:rsidRPr="00284D3B">
        <w:rPr>
          <w:rFonts w:asciiTheme="minorHAnsi" w:eastAsiaTheme="minorHAnsi" w:hAnsiTheme="minorHAnsi" w:cstheme="minorHAnsi"/>
          <w:sz w:val="20"/>
          <w:szCs w:val="22"/>
          <w:lang w:eastAsia="en-US"/>
        </w:rPr>
        <w:t xml:space="preserve">Regjeringen bevilger 30 mill kr til forprosjektering av Ocean Space Laboratories i Trondheim. </w:t>
      </w:r>
      <w:r w:rsidR="00707582" w:rsidRPr="00A803C4">
        <w:rPr>
          <w:rFonts w:asciiTheme="minorHAnsi" w:eastAsiaTheme="minorHAnsi" w:hAnsiTheme="minorHAnsi" w:cstheme="minorHAnsi"/>
          <w:sz w:val="20"/>
          <w:szCs w:val="22"/>
          <w:lang w:eastAsia="en-US"/>
        </w:rPr>
        <w:t xml:space="preserve">Norge er en havnasjon og Ocean Space Center handler om havromsteknologi som blir svært viktig for at vi fortsatt skal være ledende på havet. </w:t>
      </w:r>
      <w:r w:rsidRPr="00284D3B">
        <w:rPr>
          <w:rFonts w:asciiTheme="minorHAnsi" w:eastAsiaTheme="minorHAnsi" w:hAnsiTheme="minorHAnsi" w:cstheme="minorHAnsi"/>
          <w:sz w:val="20"/>
          <w:szCs w:val="22"/>
          <w:lang w:eastAsia="en-US"/>
        </w:rPr>
        <w:t>Dette er utslagsgivende for utvikling av ny kunnskap og teknologi for å utløse nærings- og innovasjonspotensialet basert på havrommet.</w:t>
      </w:r>
    </w:p>
    <w:p w14:paraId="5A9507A1" w14:textId="4A134697" w:rsidR="001D252C" w:rsidRDefault="001D252C" w:rsidP="00284D3B">
      <w:pPr>
        <w:numPr>
          <w:ilvl w:val="0"/>
          <w:numId w:val="29"/>
        </w:numPr>
        <w:rPr>
          <w:rFonts w:asciiTheme="minorHAnsi" w:eastAsiaTheme="minorHAnsi" w:hAnsiTheme="minorHAnsi" w:cstheme="minorHAnsi"/>
          <w:sz w:val="20"/>
          <w:szCs w:val="22"/>
          <w:lang w:eastAsia="en-US"/>
        </w:rPr>
      </w:pPr>
      <w:r>
        <w:rPr>
          <w:rFonts w:asciiTheme="minorHAnsi" w:eastAsiaTheme="minorHAnsi" w:hAnsiTheme="minorHAnsi" w:cstheme="minorHAnsi"/>
          <w:sz w:val="20"/>
          <w:szCs w:val="22"/>
          <w:lang w:eastAsia="en-US"/>
        </w:rPr>
        <w:t>R</w:t>
      </w:r>
      <w:r w:rsidRPr="001D252C">
        <w:rPr>
          <w:rFonts w:asciiTheme="minorHAnsi" w:eastAsiaTheme="minorHAnsi" w:hAnsiTheme="minorHAnsi" w:cstheme="minorHAnsi"/>
          <w:sz w:val="20"/>
          <w:szCs w:val="22"/>
          <w:lang w:eastAsia="en-US"/>
        </w:rPr>
        <w:t>egjeringen fortsetter å følge opp prioriteringene i Langtidsplanen for forskning og høyere utdanning med en opptrapping på 339 millioner kroner innenfor Teknologiløftet, FoU for næringslivet og Kvalitet i utdanning, men takten må økes i 2021, ikke reduseres fra 2020.</w:t>
      </w:r>
    </w:p>
    <w:p w14:paraId="4AB9B890" w14:textId="04DB1763" w:rsidR="00284D3B" w:rsidRPr="00284D3B" w:rsidRDefault="007128F3" w:rsidP="00284D3B">
      <w:pPr>
        <w:numPr>
          <w:ilvl w:val="0"/>
          <w:numId w:val="29"/>
        </w:numPr>
        <w:rPr>
          <w:rFonts w:asciiTheme="minorHAnsi" w:eastAsiaTheme="minorHAnsi" w:hAnsiTheme="minorHAnsi" w:cstheme="minorHAnsi"/>
          <w:sz w:val="20"/>
          <w:szCs w:val="22"/>
          <w:lang w:eastAsia="en-US"/>
        </w:rPr>
      </w:pPr>
      <w:r>
        <w:rPr>
          <w:rFonts w:asciiTheme="minorHAnsi" w:eastAsiaTheme="minorHAnsi" w:hAnsiTheme="minorHAnsi" w:cstheme="minorHAnsi"/>
          <w:sz w:val="20"/>
          <w:szCs w:val="22"/>
          <w:lang w:eastAsia="en-US"/>
        </w:rPr>
        <w:t>R</w:t>
      </w:r>
      <w:r w:rsidR="00284D3B" w:rsidRPr="00284D3B">
        <w:rPr>
          <w:rFonts w:asciiTheme="minorHAnsi" w:eastAsiaTheme="minorHAnsi" w:hAnsiTheme="minorHAnsi" w:cstheme="minorHAnsi"/>
          <w:sz w:val="20"/>
          <w:szCs w:val="22"/>
          <w:lang w:eastAsia="en-US"/>
        </w:rPr>
        <w:t>egjeringen vil prioritere tiltak som sikrer like konkurransevilkår mellom offentlige og private aktører</w:t>
      </w:r>
      <w:r>
        <w:rPr>
          <w:rFonts w:asciiTheme="minorHAnsi" w:eastAsiaTheme="minorHAnsi" w:hAnsiTheme="minorHAnsi" w:cstheme="minorHAnsi"/>
          <w:sz w:val="20"/>
          <w:szCs w:val="22"/>
          <w:lang w:eastAsia="en-US"/>
        </w:rPr>
        <w:t>.</w:t>
      </w:r>
      <w:r w:rsidR="00284D3B" w:rsidRPr="00284D3B">
        <w:rPr>
          <w:rFonts w:asciiTheme="minorHAnsi" w:eastAsiaTheme="minorHAnsi" w:hAnsiTheme="minorHAnsi" w:cstheme="minorHAnsi"/>
          <w:sz w:val="20"/>
          <w:szCs w:val="22"/>
          <w:lang w:eastAsia="en-US"/>
        </w:rPr>
        <w:t xml:space="preserve"> </w:t>
      </w:r>
    </w:p>
    <w:p w14:paraId="51EA5224" w14:textId="77777777" w:rsidR="00284D3B" w:rsidRPr="00284D3B" w:rsidRDefault="00284D3B" w:rsidP="00284D3B">
      <w:pPr>
        <w:ind w:left="360"/>
        <w:rPr>
          <w:rFonts w:asciiTheme="minorHAnsi" w:eastAsiaTheme="minorHAnsi" w:hAnsiTheme="minorHAnsi" w:cstheme="minorHAnsi"/>
          <w:sz w:val="20"/>
          <w:szCs w:val="22"/>
          <w:lang w:eastAsia="en-US"/>
        </w:rPr>
      </w:pPr>
    </w:p>
    <w:p w14:paraId="255E0326" w14:textId="505C5D1C" w:rsidR="00284D3B" w:rsidRPr="00284D3B" w:rsidRDefault="00284D3B" w:rsidP="00284D3B">
      <w:pPr>
        <w:spacing w:line="264" w:lineRule="auto"/>
        <w:rPr>
          <w:rFonts w:asciiTheme="minorHAnsi" w:hAnsiTheme="minorHAnsi" w:cstheme="minorHAnsi"/>
          <w:b/>
          <w:sz w:val="20"/>
        </w:rPr>
      </w:pPr>
      <w:r w:rsidRPr="00284D3B">
        <w:rPr>
          <w:rFonts w:asciiTheme="minorHAnsi" w:hAnsiTheme="minorHAnsi" w:cstheme="minorHAnsi"/>
          <w:b/>
          <w:sz w:val="20"/>
        </w:rPr>
        <w:t xml:space="preserve">For å øke omstillingstakten mot det grønne skiftet, </w:t>
      </w:r>
      <w:r w:rsidR="001D252C">
        <w:rPr>
          <w:rFonts w:asciiTheme="minorHAnsi" w:hAnsiTheme="minorHAnsi" w:cstheme="minorHAnsi"/>
          <w:b/>
          <w:sz w:val="20"/>
        </w:rPr>
        <w:t xml:space="preserve">har </w:t>
      </w:r>
      <w:r w:rsidRPr="00284D3B">
        <w:rPr>
          <w:rFonts w:asciiTheme="minorHAnsi" w:hAnsiTheme="minorHAnsi" w:cstheme="minorHAnsi"/>
          <w:b/>
          <w:sz w:val="20"/>
        </w:rPr>
        <w:t>FFA følgende konkrete forslag for 2021:</w:t>
      </w:r>
    </w:p>
    <w:p w14:paraId="22AB9B01" w14:textId="77777777" w:rsidR="00284D3B" w:rsidRPr="00284D3B" w:rsidRDefault="00284D3B" w:rsidP="00284D3B">
      <w:pPr>
        <w:numPr>
          <w:ilvl w:val="0"/>
          <w:numId w:val="28"/>
        </w:numPr>
        <w:spacing w:line="264" w:lineRule="auto"/>
        <w:ind w:left="284" w:hanging="284"/>
        <w:rPr>
          <w:rFonts w:asciiTheme="minorHAnsi" w:eastAsiaTheme="minorHAnsi" w:hAnsiTheme="minorHAnsi" w:cstheme="minorBidi"/>
          <w:sz w:val="20"/>
          <w:lang w:eastAsia="en-US"/>
        </w:rPr>
      </w:pPr>
      <w:r w:rsidRPr="00284D3B">
        <w:rPr>
          <w:rFonts w:asciiTheme="minorHAnsi" w:eastAsiaTheme="minorHAnsi" w:hAnsiTheme="minorHAnsi" w:cstheme="minorBidi"/>
          <w:sz w:val="20"/>
          <w:u w:val="single"/>
          <w:lang w:eastAsia="en-US"/>
        </w:rPr>
        <w:t>Grunnfinansiering til primærnæringsinstituttene SINTEF Ocean og NOFIMA kompenseres for prisvekst og styrkes med 10 mill kr</w:t>
      </w:r>
      <w:r w:rsidRPr="00284D3B">
        <w:rPr>
          <w:rFonts w:asciiTheme="minorHAnsi" w:eastAsiaTheme="minorHAnsi" w:hAnsiTheme="minorHAnsi" w:cstheme="minorBidi"/>
          <w:sz w:val="20"/>
          <w:lang w:eastAsia="en-US"/>
        </w:rPr>
        <w:t xml:space="preserve"> på Nærings og fiskeridepartementets budsjett Kap.920 Norges Forskningsråd, post 50</w:t>
      </w:r>
    </w:p>
    <w:p w14:paraId="2C6632CE" w14:textId="77777777" w:rsidR="00284D3B" w:rsidRPr="00284D3B" w:rsidRDefault="00284D3B" w:rsidP="00284D3B">
      <w:pPr>
        <w:numPr>
          <w:ilvl w:val="0"/>
          <w:numId w:val="28"/>
        </w:numPr>
        <w:spacing w:line="264" w:lineRule="auto"/>
        <w:ind w:left="284" w:hanging="284"/>
        <w:rPr>
          <w:rFonts w:asciiTheme="minorHAnsi" w:eastAsiaTheme="minorHAnsi" w:hAnsiTheme="minorHAnsi" w:cstheme="minorHAnsi"/>
          <w:sz w:val="20"/>
          <w:szCs w:val="22"/>
          <w:lang w:eastAsia="en-US"/>
        </w:rPr>
      </w:pPr>
      <w:r w:rsidRPr="00284D3B">
        <w:rPr>
          <w:rFonts w:asciiTheme="minorHAnsi" w:eastAsiaTheme="minorHAnsi" w:hAnsiTheme="minorHAnsi" w:cstheme="minorHAnsi"/>
          <w:sz w:val="20"/>
          <w:szCs w:val="22"/>
          <w:u w:val="single"/>
          <w:lang w:eastAsia="en-US"/>
        </w:rPr>
        <w:t>Grunnfinansieringen til forskningsinstituttene økes til 25% over en 5-års</w:t>
      </w:r>
      <w:r w:rsidRPr="00284D3B">
        <w:rPr>
          <w:rFonts w:asciiTheme="minorHAnsi" w:eastAsiaTheme="minorHAnsi" w:hAnsiTheme="minorHAnsi" w:cstheme="minorHAnsi"/>
          <w:sz w:val="20"/>
          <w:szCs w:val="22"/>
          <w:lang w:eastAsia="en-US"/>
        </w:rPr>
        <w:t xml:space="preserve"> </w:t>
      </w:r>
      <w:r w:rsidRPr="00284D3B">
        <w:rPr>
          <w:rFonts w:asciiTheme="minorHAnsi" w:eastAsiaTheme="minorHAnsi" w:hAnsiTheme="minorHAnsi" w:cstheme="minorHAnsi"/>
          <w:sz w:val="20"/>
          <w:szCs w:val="22"/>
          <w:u w:val="single"/>
          <w:lang w:eastAsia="en-US"/>
        </w:rPr>
        <w:t>periode</w:t>
      </w:r>
      <w:r w:rsidRPr="00284D3B">
        <w:rPr>
          <w:rFonts w:asciiTheme="minorHAnsi" w:eastAsiaTheme="minorHAnsi" w:hAnsiTheme="minorHAnsi" w:cstheme="minorHAnsi"/>
          <w:sz w:val="20"/>
          <w:szCs w:val="22"/>
          <w:lang w:eastAsia="en-US"/>
        </w:rPr>
        <w:t xml:space="preserve">. Økningen rettes mot Langtidsplanens prioriteringer, slik at en bygger langsiktig anvendt forskning på de viktigste områdene </w:t>
      </w:r>
    </w:p>
    <w:p w14:paraId="67B7E093" w14:textId="44C61186" w:rsidR="00284D3B" w:rsidRPr="00284D3B" w:rsidRDefault="00284D3B" w:rsidP="00284D3B">
      <w:pPr>
        <w:numPr>
          <w:ilvl w:val="0"/>
          <w:numId w:val="28"/>
        </w:numPr>
        <w:spacing w:line="264" w:lineRule="auto"/>
        <w:ind w:left="284" w:hanging="284"/>
        <w:rPr>
          <w:rFonts w:asciiTheme="minorHAnsi" w:eastAsiaTheme="minorHAnsi" w:hAnsiTheme="minorHAnsi" w:cstheme="minorHAnsi"/>
          <w:sz w:val="20"/>
          <w:szCs w:val="22"/>
          <w:lang w:eastAsia="en-US"/>
        </w:rPr>
      </w:pPr>
      <w:r w:rsidRPr="00284D3B">
        <w:rPr>
          <w:rFonts w:asciiTheme="minorHAnsi" w:eastAsiaTheme="minorHAnsi" w:hAnsiTheme="minorHAnsi" w:cstheme="minorHAnsi"/>
          <w:sz w:val="20"/>
          <w:szCs w:val="22"/>
          <w:u w:val="single"/>
          <w:lang w:eastAsia="en-US"/>
        </w:rPr>
        <w:t xml:space="preserve">STIM-EU </w:t>
      </w:r>
      <w:r w:rsidR="00A67A03">
        <w:rPr>
          <w:rFonts w:asciiTheme="minorHAnsi" w:eastAsiaTheme="minorHAnsi" w:hAnsiTheme="minorHAnsi" w:cstheme="minorHAnsi"/>
          <w:sz w:val="20"/>
          <w:szCs w:val="22"/>
          <w:u w:val="single"/>
          <w:lang w:eastAsia="en-US"/>
        </w:rPr>
        <w:t>som differensiert ordning</w:t>
      </w:r>
      <w:r w:rsidRPr="00284D3B">
        <w:rPr>
          <w:rFonts w:asciiTheme="minorHAnsi" w:eastAsiaTheme="minorHAnsi" w:hAnsiTheme="minorHAnsi" w:cstheme="minorHAnsi"/>
          <w:sz w:val="20"/>
          <w:szCs w:val="22"/>
          <w:u w:val="single"/>
          <w:lang w:eastAsia="en-US"/>
        </w:rPr>
        <w:t xml:space="preserve"> videreføres i </w:t>
      </w:r>
      <w:r w:rsidR="00DE49A7">
        <w:rPr>
          <w:rFonts w:asciiTheme="minorHAnsi" w:eastAsiaTheme="minorHAnsi" w:hAnsiTheme="minorHAnsi" w:cstheme="minorHAnsi"/>
          <w:sz w:val="20"/>
          <w:szCs w:val="22"/>
          <w:u w:val="single"/>
          <w:lang w:eastAsia="en-US"/>
        </w:rPr>
        <w:t>hele programperioden</w:t>
      </w:r>
      <w:r w:rsidRPr="00284D3B">
        <w:rPr>
          <w:rFonts w:asciiTheme="minorHAnsi" w:eastAsiaTheme="minorHAnsi" w:hAnsiTheme="minorHAnsi" w:cstheme="minorHAnsi"/>
          <w:sz w:val="20"/>
          <w:szCs w:val="22"/>
          <w:u w:val="single"/>
          <w:lang w:eastAsia="en-US"/>
        </w:rPr>
        <w:t xml:space="preserve"> </w:t>
      </w:r>
      <w:r w:rsidR="001F70AD">
        <w:rPr>
          <w:rFonts w:asciiTheme="minorHAnsi" w:eastAsiaTheme="minorHAnsi" w:hAnsiTheme="minorHAnsi" w:cstheme="minorHAnsi"/>
          <w:sz w:val="20"/>
          <w:szCs w:val="22"/>
          <w:u w:val="single"/>
          <w:lang w:eastAsia="en-US"/>
        </w:rPr>
        <w:t xml:space="preserve">for Horisont Europa </w:t>
      </w:r>
      <w:r w:rsidRPr="00284D3B">
        <w:rPr>
          <w:rFonts w:asciiTheme="minorHAnsi" w:eastAsiaTheme="minorHAnsi" w:hAnsiTheme="minorHAnsi" w:cstheme="minorHAnsi"/>
          <w:sz w:val="20"/>
          <w:szCs w:val="22"/>
          <w:u w:val="single"/>
          <w:lang w:eastAsia="en-US"/>
        </w:rPr>
        <w:t xml:space="preserve">slik at instituttene kan opprettholde sin søke-aktivitet mot Horisont Europa og dekke alle deler av programmet. </w:t>
      </w:r>
      <w:r w:rsidRPr="00284D3B">
        <w:rPr>
          <w:rFonts w:asciiTheme="minorHAnsi" w:eastAsiaTheme="minorHAnsi" w:hAnsiTheme="minorHAnsi" w:cstheme="minorHAnsi"/>
          <w:sz w:val="20"/>
          <w:szCs w:val="22"/>
          <w:lang w:eastAsia="en-US"/>
        </w:rPr>
        <w:t xml:space="preserve">Videreføringen </w:t>
      </w:r>
      <w:r w:rsidR="001022A0">
        <w:rPr>
          <w:rFonts w:asciiTheme="minorHAnsi" w:eastAsiaTheme="minorHAnsi" w:hAnsiTheme="minorHAnsi" w:cstheme="minorHAnsi"/>
          <w:sz w:val="20"/>
          <w:szCs w:val="22"/>
          <w:lang w:eastAsia="en-US"/>
        </w:rPr>
        <w:t xml:space="preserve">bør </w:t>
      </w:r>
      <w:r w:rsidRPr="00284D3B">
        <w:rPr>
          <w:rFonts w:asciiTheme="minorHAnsi" w:eastAsiaTheme="minorHAnsi" w:hAnsiTheme="minorHAnsi" w:cstheme="minorHAnsi"/>
          <w:sz w:val="20"/>
          <w:szCs w:val="22"/>
          <w:lang w:eastAsia="en-US"/>
        </w:rPr>
        <w:t>bekreftes</w:t>
      </w:r>
      <w:r w:rsidR="001022A0">
        <w:rPr>
          <w:rFonts w:asciiTheme="minorHAnsi" w:eastAsiaTheme="minorHAnsi" w:hAnsiTheme="minorHAnsi" w:cstheme="minorHAnsi"/>
          <w:sz w:val="20"/>
          <w:szCs w:val="22"/>
          <w:lang w:eastAsia="en-US"/>
        </w:rPr>
        <w:t xml:space="preserve"> i merknad til</w:t>
      </w:r>
      <w:r w:rsidRPr="00284D3B">
        <w:rPr>
          <w:rFonts w:asciiTheme="minorHAnsi" w:eastAsiaTheme="minorHAnsi" w:hAnsiTheme="minorHAnsi" w:cstheme="minorHAnsi"/>
          <w:sz w:val="20"/>
          <w:szCs w:val="22"/>
          <w:lang w:eastAsia="en-US"/>
        </w:rPr>
        <w:t xml:space="preserve"> Kap.920 Norges Forskningsråd, post 50 for å gi instituttene forutsigbarhet</w:t>
      </w:r>
      <w:r w:rsidR="001F70AD">
        <w:rPr>
          <w:rFonts w:asciiTheme="minorHAnsi" w:eastAsiaTheme="minorHAnsi" w:hAnsiTheme="minorHAnsi" w:cstheme="minorHAnsi"/>
          <w:sz w:val="20"/>
          <w:szCs w:val="22"/>
          <w:lang w:eastAsia="en-US"/>
        </w:rPr>
        <w:t xml:space="preserve"> i</w:t>
      </w:r>
      <w:r w:rsidR="00753218">
        <w:rPr>
          <w:rFonts w:asciiTheme="minorHAnsi" w:eastAsiaTheme="minorHAnsi" w:hAnsiTheme="minorHAnsi" w:cstheme="minorHAnsi"/>
          <w:sz w:val="20"/>
          <w:szCs w:val="22"/>
          <w:lang w:eastAsia="en-US"/>
        </w:rPr>
        <w:t xml:space="preserve"> samarbeidet</w:t>
      </w:r>
      <w:r w:rsidRPr="00284D3B">
        <w:rPr>
          <w:rFonts w:asciiTheme="minorHAnsi" w:eastAsiaTheme="minorHAnsi" w:hAnsiTheme="minorHAnsi" w:cstheme="minorHAnsi"/>
          <w:sz w:val="20"/>
          <w:szCs w:val="22"/>
          <w:lang w:eastAsia="en-US"/>
        </w:rPr>
        <w:t>.</w:t>
      </w:r>
    </w:p>
    <w:p w14:paraId="142F5C25" w14:textId="4B8648D5" w:rsidR="00284D3B" w:rsidRPr="00284D3B" w:rsidRDefault="00284D3B" w:rsidP="00284D3B">
      <w:pPr>
        <w:numPr>
          <w:ilvl w:val="0"/>
          <w:numId w:val="28"/>
        </w:numPr>
        <w:spacing w:line="264" w:lineRule="auto"/>
        <w:ind w:left="284" w:hanging="284"/>
        <w:rPr>
          <w:rFonts w:asciiTheme="minorHAnsi" w:eastAsiaTheme="minorHAnsi" w:hAnsiTheme="minorHAnsi" w:cstheme="minorHAnsi"/>
          <w:sz w:val="20"/>
          <w:szCs w:val="22"/>
          <w:lang w:eastAsia="en-US"/>
        </w:rPr>
      </w:pPr>
      <w:bookmarkStart w:id="0" w:name="_Hlk527615973"/>
      <w:bookmarkStart w:id="1" w:name="_Hlk527560220"/>
      <w:r w:rsidRPr="00284D3B">
        <w:rPr>
          <w:rFonts w:asciiTheme="minorHAnsi" w:eastAsiaTheme="minorHAnsi" w:hAnsiTheme="minorHAnsi" w:cstheme="minorHAnsi"/>
          <w:sz w:val="20"/>
          <w:szCs w:val="22"/>
          <w:lang w:eastAsia="en-US"/>
        </w:rPr>
        <w:t xml:space="preserve">For å realisere Stortingets mål om nødvendige langsiktige omstillinger i næringsliv og samfunn, må </w:t>
      </w:r>
      <w:r w:rsidRPr="00284D3B">
        <w:rPr>
          <w:rFonts w:asciiTheme="minorHAnsi" w:eastAsiaTheme="minorHAnsi" w:hAnsiTheme="minorHAnsi" w:cstheme="minorHAnsi"/>
          <w:sz w:val="20"/>
          <w:szCs w:val="22"/>
          <w:u w:val="single"/>
          <w:lang w:eastAsia="en-US"/>
        </w:rPr>
        <w:t>myndighetenes forskningsinnsats gjennom Forskningsrådet trappes opp ytterligere i en overgangsfase</w:t>
      </w:r>
      <w:r w:rsidRPr="00284D3B">
        <w:rPr>
          <w:rFonts w:asciiTheme="minorHAnsi" w:eastAsiaTheme="minorHAnsi" w:hAnsiTheme="minorHAnsi" w:cstheme="minorHAnsi"/>
          <w:sz w:val="20"/>
          <w:szCs w:val="22"/>
          <w:lang w:eastAsia="en-US"/>
        </w:rPr>
        <w:t xml:space="preserve">. Økningen må styrke forskning i, med og for næringslivet som øker norsk konkurransekraft og bidrar til </w:t>
      </w:r>
      <w:r w:rsidR="00C913C7">
        <w:rPr>
          <w:rFonts w:asciiTheme="minorHAnsi" w:eastAsiaTheme="minorHAnsi" w:hAnsiTheme="minorHAnsi" w:cstheme="minorHAnsi"/>
          <w:sz w:val="20"/>
          <w:szCs w:val="22"/>
          <w:lang w:eastAsia="en-US"/>
        </w:rPr>
        <w:t>grønn omstilling</w:t>
      </w:r>
      <w:r w:rsidRPr="00284D3B">
        <w:rPr>
          <w:rFonts w:asciiTheme="minorHAnsi" w:eastAsiaTheme="minorHAnsi" w:hAnsiTheme="minorHAnsi" w:cstheme="minorHAnsi"/>
          <w:sz w:val="20"/>
          <w:szCs w:val="22"/>
          <w:lang w:eastAsia="en-US"/>
        </w:rPr>
        <w:t>. Veksten i forskningsmidlene må fordeles via Forskningsrådets konkurransearena. For å dekke de økte kostnadene, bør en se på muligheten for endringer i Skattefunn og omdisponering av disse midlene til andre FoU-virkemidler med større effektivitet og addisjonalitet, rettet mot næringslivets grønne skifte</w:t>
      </w:r>
      <w:bookmarkEnd w:id="1"/>
      <w:r w:rsidRPr="00284D3B">
        <w:rPr>
          <w:rFonts w:asciiTheme="minorHAnsi" w:eastAsiaTheme="minorHAnsi" w:hAnsiTheme="minorHAnsi" w:cstheme="minorHAnsi"/>
          <w:sz w:val="20"/>
          <w:szCs w:val="22"/>
          <w:lang w:eastAsia="en-US"/>
        </w:rPr>
        <w:t>.</w:t>
      </w:r>
    </w:p>
    <w:p w14:paraId="77EEAAC4" w14:textId="77777777" w:rsidR="00284D3B" w:rsidRPr="00284D3B" w:rsidRDefault="00284D3B" w:rsidP="00284D3B">
      <w:pPr>
        <w:spacing w:line="264" w:lineRule="auto"/>
        <w:ind w:left="284"/>
        <w:rPr>
          <w:rFonts w:asciiTheme="minorHAnsi" w:eastAsiaTheme="minorHAnsi" w:hAnsiTheme="minorHAnsi" w:cstheme="minorHAnsi"/>
          <w:sz w:val="20"/>
          <w:szCs w:val="22"/>
          <w:lang w:eastAsia="en-US"/>
        </w:rPr>
      </w:pPr>
      <w:r w:rsidRPr="00284D3B">
        <w:rPr>
          <w:rFonts w:asciiTheme="minorHAnsi" w:eastAsiaTheme="minorHAnsi" w:hAnsiTheme="minorHAnsi" w:cstheme="minorHAnsi"/>
          <w:sz w:val="20"/>
          <w:szCs w:val="22"/>
          <w:u w:val="single"/>
          <w:lang w:eastAsia="en-US"/>
        </w:rPr>
        <w:t>Næringsrettet forskning styrkes i 2021 med 300 mill kr ut over regjeringens budsjettforslag på Kap. 920 Norges Forskningsråd, post 50. Økningen forutsetter samarbeid mellom bedrifter og godkjent FoU-miljø for å sikre næringsrelevans, forskningskvalitet og kunnskapsspredning av forskning finansiert av fellesskapet.</w:t>
      </w:r>
    </w:p>
    <w:bookmarkEnd w:id="0"/>
    <w:p w14:paraId="1A1A0B4E" w14:textId="77777777" w:rsidR="00284D3B" w:rsidRPr="00284D3B" w:rsidRDefault="00284D3B" w:rsidP="00284D3B">
      <w:pPr>
        <w:rPr>
          <w:rFonts w:asciiTheme="minorHAnsi" w:hAnsiTheme="minorHAnsi" w:cstheme="minorHAnsi"/>
          <w:b/>
          <w:sz w:val="20"/>
        </w:rPr>
      </w:pPr>
    </w:p>
    <w:p w14:paraId="74306A9A" w14:textId="0AFCB4CD" w:rsidR="00284D3B" w:rsidRPr="00284D3B" w:rsidRDefault="00284D3B" w:rsidP="00284D3B">
      <w:pPr>
        <w:rPr>
          <w:rFonts w:asciiTheme="minorHAnsi" w:hAnsiTheme="minorHAnsi" w:cstheme="minorHAnsi"/>
          <w:b/>
          <w:sz w:val="20"/>
        </w:rPr>
      </w:pPr>
      <w:r w:rsidRPr="00284D3B">
        <w:rPr>
          <w:rFonts w:asciiTheme="minorHAnsi" w:hAnsiTheme="minorHAnsi" w:cstheme="minorHAnsi"/>
          <w:b/>
          <w:sz w:val="20"/>
        </w:rPr>
        <w:t>Omstillingspotensialet i forskningssamarbeid må utløses – styrk grunnfinansiering</w:t>
      </w:r>
      <w:r>
        <w:rPr>
          <w:rFonts w:asciiTheme="minorHAnsi" w:hAnsiTheme="minorHAnsi" w:cstheme="minorHAnsi"/>
          <w:b/>
          <w:sz w:val="20"/>
        </w:rPr>
        <w:t>en</w:t>
      </w:r>
      <w:r w:rsidRPr="00284D3B">
        <w:rPr>
          <w:rFonts w:asciiTheme="minorHAnsi" w:hAnsiTheme="minorHAnsi" w:cstheme="minorHAnsi"/>
          <w:b/>
          <w:sz w:val="20"/>
        </w:rPr>
        <w:t>, STIM-EU og næringsrettet forskning</w:t>
      </w:r>
    </w:p>
    <w:p w14:paraId="007689CA" w14:textId="77777777" w:rsidR="00284D3B" w:rsidRPr="00284D3B" w:rsidRDefault="00284D3B" w:rsidP="00284D3B">
      <w:pPr>
        <w:rPr>
          <w:rFonts w:asciiTheme="minorHAnsi" w:hAnsiTheme="minorHAnsi" w:cstheme="minorHAnsi"/>
          <w:sz w:val="20"/>
        </w:rPr>
      </w:pPr>
      <w:r w:rsidRPr="00284D3B">
        <w:rPr>
          <w:rFonts w:asciiTheme="minorHAnsi" w:hAnsiTheme="minorHAnsi" w:cstheme="minorHAnsi"/>
          <w:sz w:val="20"/>
        </w:rPr>
        <w:t xml:space="preserve">Regjeringens forslag til statsbudsjett 2021 bør i enda sterkere grad følge opp Langtidsplanens ambisjoner for å løse de store </w:t>
      </w:r>
      <w:r w:rsidRPr="00284D3B">
        <w:rPr>
          <w:rFonts w:asciiTheme="minorHAnsi" w:hAnsiTheme="minorHAnsi" w:cstheme="minorHAnsi"/>
          <w:color w:val="000000" w:themeColor="text1"/>
          <w:sz w:val="20"/>
        </w:rPr>
        <w:t>samfunnsutfordringene og den kritiske omstillingssituasjonen som næringslivet står i</w:t>
      </w:r>
      <w:r w:rsidRPr="00284D3B">
        <w:rPr>
          <w:rFonts w:asciiTheme="minorHAnsi" w:hAnsiTheme="minorHAnsi" w:cstheme="minorHAnsi"/>
          <w:sz w:val="20"/>
        </w:rPr>
        <w:t xml:space="preserve">. </w:t>
      </w:r>
    </w:p>
    <w:p w14:paraId="5E90B6F7" w14:textId="77777777" w:rsidR="00284D3B" w:rsidRPr="00284D3B" w:rsidRDefault="00284D3B" w:rsidP="00284D3B">
      <w:pPr>
        <w:rPr>
          <w:rFonts w:asciiTheme="minorHAnsi" w:hAnsiTheme="minorHAnsi" w:cstheme="minorHAnsi"/>
          <w:sz w:val="20"/>
        </w:rPr>
      </w:pPr>
      <w:r w:rsidRPr="00284D3B">
        <w:rPr>
          <w:rFonts w:asciiTheme="minorHAnsi" w:hAnsiTheme="minorHAnsi" w:cstheme="minorHAnsi"/>
          <w:sz w:val="20"/>
          <w:szCs w:val="18"/>
        </w:rPr>
        <w:t xml:space="preserve">Samfunnseffekten av den anvendte forskningen i forskningsinstituttene er godt dokumentert av både EU, OECD og Forskningsrådet. Effektanalysen av næringslivets forskningssamarbeid med de teknisk-industrielle instituttene viser at samarbeidet gav økt verdiskaping i størrelsen 80 milliarder pr år de siste 10 årene, eller 1,1% av samlet verdiskaping i industrien. </w:t>
      </w:r>
      <w:r w:rsidRPr="00284D3B">
        <w:rPr>
          <w:rFonts w:asciiTheme="minorHAnsi" w:hAnsiTheme="minorHAnsi" w:cstheme="minorHAnsi"/>
          <w:sz w:val="20"/>
        </w:rPr>
        <w:t>Norske teknisk-industrielle forskningsinstitutter har en basisbevilgning på 8% i gjennomsnitt (2019). Dette er meget lavt i forhold til de forskningsmiljøer en samarbeider og konkurrerer med nasjonalt og internasjonalt, som har en basisbevilgning på 25%-50%. OECD mener at lav basisbevilgning for forskningsinstituttene er en minimumsfaktor i det norske forskningssystemet og som begrenser samfunnseffekten av en høyt kvalifisert instituttsektor. FFA er derfor svært fornøyd med at det foreslås en økning i basisbevilgningen til de teknisk-industrielle instituttene på 50 mill kr over NFDs budsjett. Denne økningen må trappes opp til internasjonalt nivå de neste 5 årene. SINTEF Ocean og NOFIMA, næringsrettede institutter på Fiskeriministerens ansvarsområde, må også gis økt grunnfinansiering på 10 mill kr.</w:t>
      </w:r>
    </w:p>
    <w:p w14:paraId="70C7FE7D" w14:textId="77777777" w:rsidR="00284D3B" w:rsidRPr="00284D3B" w:rsidRDefault="00284D3B" w:rsidP="00284D3B">
      <w:pPr>
        <w:rPr>
          <w:rFonts w:asciiTheme="minorHAnsi" w:hAnsiTheme="minorHAnsi" w:cstheme="minorHAnsi"/>
          <w:sz w:val="20"/>
        </w:rPr>
      </w:pPr>
    </w:p>
    <w:p w14:paraId="437B0822" w14:textId="77777777" w:rsidR="00284D3B" w:rsidRPr="00284D3B" w:rsidRDefault="00284D3B" w:rsidP="00284D3B">
      <w:pPr>
        <w:rPr>
          <w:rFonts w:asciiTheme="minorHAnsi" w:hAnsiTheme="minorHAnsi" w:cstheme="minorHAnsi"/>
          <w:sz w:val="20"/>
        </w:rPr>
      </w:pPr>
      <w:r w:rsidRPr="00284D3B">
        <w:rPr>
          <w:rFonts w:asciiTheme="minorHAnsi" w:hAnsiTheme="minorHAnsi" w:cstheme="minorHAnsi"/>
          <w:sz w:val="20"/>
        </w:rPr>
        <w:t>Norske bedrifter har meget god gjennomslagskraft EUs forsknings- og innovasjonssamarbeid og har teknologi og prosjekter som konkurrerer sterkt på den europeiske arenaen. De teknisk-industrielle instituttene er den viktigste norske samarbeidspartneren for bedriftene. Forskningsinstituttene som mottar støtte, tilbyr næringslivet og det offentlige god kompetanse og forskningstjenester av høy internasjonal kvalitet. Derfor er det avgjørende at forskningsinstituttene gis mulighet til å delta for fullt. Stimuleringsordningen STIM-EU må videreføres i 2021 på samme nivå og system som i dag, slik at institutter med mindre enn 15% basisbevilgning har mulighet til å øke sin deltagelse i EUs program for forskning og innovasjon Horisont Europa og dermed også øke bedrifters deltagelse. Instituttene øker nå sin aktivitet mot EU vesentlig og samarbeider i stor grad med næringslivet i prosjektene.</w:t>
      </w:r>
    </w:p>
    <w:p w14:paraId="61F3CA9B" w14:textId="77777777" w:rsidR="00284D3B" w:rsidRPr="00284D3B" w:rsidRDefault="00284D3B" w:rsidP="00284D3B">
      <w:pPr>
        <w:rPr>
          <w:rFonts w:asciiTheme="minorHAnsi" w:hAnsiTheme="minorHAnsi" w:cstheme="minorHAnsi"/>
          <w:sz w:val="20"/>
        </w:rPr>
      </w:pPr>
    </w:p>
    <w:p w14:paraId="60B0765F" w14:textId="77777777" w:rsidR="00284D3B" w:rsidRPr="00284D3B" w:rsidRDefault="00284D3B" w:rsidP="00284D3B">
      <w:pPr>
        <w:rPr>
          <w:rFonts w:asciiTheme="minorHAnsi" w:hAnsiTheme="minorHAnsi" w:cstheme="minorHAnsi"/>
          <w:sz w:val="20"/>
        </w:rPr>
      </w:pPr>
      <w:r w:rsidRPr="00284D3B">
        <w:rPr>
          <w:rFonts w:asciiTheme="minorHAnsi" w:hAnsiTheme="minorHAnsi" w:cstheme="minorHAnsi"/>
          <w:sz w:val="20"/>
        </w:rPr>
        <w:t>De næringsrettede forskningsvirkemidlene i Forskningsrådet treffer næringslivet og forskningsinstituttene svært godt og bygger forskningssamarbeid og innovasjon over tid, noe også de ekstraordinære tiltakspakkene i 2020 har vist. Den næringsrettede forskningen må styrkes ytterligere og økningen må forutsette samarbeid mellom bedrifter og godkjent FoU-miljø for å sikre næringsrelevans, forskningskvalitet og kunnskapsspredning av forskning finansiert av fellesskapet.</w:t>
      </w:r>
    </w:p>
    <w:p w14:paraId="7600F51A" w14:textId="77777777" w:rsidR="001D252C" w:rsidRPr="00284D3B" w:rsidRDefault="001D252C" w:rsidP="00284D3B">
      <w:pPr>
        <w:ind w:right="-142"/>
        <w:rPr>
          <w:rFonts w:asciiTheme="minorHAnsi" w:hAnsiTheme="minorHAnsi" w:cstheme="minorHAnsi"/>
          <w:sz w:val="20"/>
        </w:rPr>
      </w:pPr>
    </w:p>
    <w:p w14:paraId="36C89C62" w14:textId="77777777" w:rsidR="00284D3B" w:rsidRPr="00284D3B" w:rsidRDefault="00284D3B" w:rsidP="00284D3B">
      <w:pPr>
        <w:rPr>
          <w:rFonts w:asciiTheme="minorHAnsi" w:hAnsiTheme="minorHAnsi" w:cstheme="minorHAnsi"/>
          <w:sz w:val="20"/>
        </w:rPr>
      </w:pPr>
      <w:r w:rsidRPr="00284D3B">
        <w:rPr>
          <w:rFonts w:asciiTheme="minorHAnsi" w:hAnsiTheme="minorHAnsi" w:cstheme="minorHAnsi"/>
          <w:sz w:val="20"/>
        </w:rPr>
        <w:t>Vennlig hilsen</w:t>
      </w:r>
    </w:p>
    <w:p w14:paraId="49242AF3" w14:textId="77777777" w:rsidR="00284D3B" w:rsidRPr="00284D3B" w:rsidRDefault="00284D3B" w:rsidP="00284D3B">
      <w:pPr>
        <w:rPr>
          <w:rFonts w:asciiTheme="minorHAnsi" w:hAnsiTheme="minorHAnsi" w:cstheme="minorHAnsi"/>
          <w:i/>
          <w:noProof/>
          <w:sz w:val="20"/>
        </w:rPr>
      </w:pPr>
    </w:p>
    <w:p w14:paraId="0B9093D5" w14:textId="77777777" w:rsidR="00284D3B" w:rsidRPr="00284D3B" w:rsidRDefault="00284D3B" w:rsidP="00284D3B">
      <w:pPr>
        <w:rPr>
          <w:rFonts w:asciiTheme="minorHAnsi" w:hAnsiTheme="minorHAnsi" w:cstheme="minorHAnsi"/>
          <w:i/>
          <w:sz w:val="20"/>
        </w:rPr>
      </w:pPr>
      <w:r w:rsidRPr="00284D3B">
        <w:rPr>
          <w:rFonts w:asciiTheme="minorHAnsi" w:hAnsiTheme="minorHAnsi" w:cstheme="minorHAnsi"/>
          <w:i/>
          <w:noProof/>
          <w:sz w:val="20"/>
        </w:rPr>
        <w:t>Agnes Landstad</w:t>
      </w:r>
    </w:p>
    <w:p w14:paraId="448406E7" w14:textId="77777777" w:rsidR="00284D3B" w:rsidRPr="00284D3B" w:rsidRDefault="00284D3B" w:rsidP="00284D3B">
      <w:pPr>
        <w:rPr>
          <w:rFonts w:asciiTheme="minorHAnsi" w:hAnsiTheme="minorHAnsi" w:cstheme="minorHAnsi"/>
          <w:sz w:val="20"/>
        </w:rPr>
      </w:pPr>
      <w:r w:rsidRPr="00284D3B">
        <w:rPr>
          <w:rFonts w:asciiTheme="minorHAnsi" w:hAnsiTheme="minorHAnsi" w:cstheme="minorHAnsi"/>
          <w:sz w:val="20"/>
        </w:rPr>
        <w:t>Daglig leder FFA</w:t>
      </w:r>
    </w:p>
    <w:p w14:paraId="470E9F4B" w14:textId="77777777" w:rsidR="00284D3B" w:rsidRPr="00284D3B" w:rsidRDefault="00284D3B" w:rsidP="00284D3B">
      <w:pPr>
        <w:rPr>
          <w:rFonts w:asciiTheme="minorHAnsi" w:hAnsiTheme="minorHAnsi" w:cstheme="minorHAnsi"/>
          <w:sz w:val="20"/>
        </w:rPr>
      </w:pPr>
    </w:p>
    <w:p w14:paraId="1701D3B8" w14:textId="77777777" w:rsidR="00284D3B" w:rsidRPr="00284D3B" w:rsidRDefault="00284D3B" w:rsidP="00284D3B">
      <w:pPr>
        <w:pBdr>
          <w:top w:val="single" w:sz="4" w:space="1" w:color="auto"/>
        </w:pBdr>
        <w:rPr>
          <w:rFonts w:asciiTheme="minorHAnsi" w:hAnsiTheme="minorHAnsi" w:cstheme="minorHAnsi"/>
          <w:i/>
          <w:iCs/>
          <w:sz w:val="18"/>
          <w:szCs w:val="18"/>
        </w:rPr>
      </w:pPr>
      <w:r w:rsidRPr="00284D3B">
        <w:rPr>
          <w:rFonts w:asciiTheme="minorHAnsi" w:hAnsiTheme="minorHAnsi" w:cstheme="minorHAnsi"/>
          <w:i/>
          <w:iCs/>
          <w:sz w:val="18"/>
          <w:szCs w:val="18"/>
        </w:rPr>
        <w:t xml:space="preserve">Forskningsinstituttenes Fellesarena organiserer de 36 selvstendige forskningsinstituttene som fyller kriteriene for basisbevilgning fra Forskningsrådet, til sammen 6500 årsverk og 10,2 mrd kr i årlig omsetning, derav 1,2 mrd kr fra utlandet. Norge har i sin instituttsektor et velfungerende apparat for anvendt, tverrfaglig og målrettet forskning og problemløsning. Den anvendte forskningen er innrettet mot de store samfunnsutfordringene og bidrar til konkurransekraft, innovasjonsevne og omstilling i næringsliv og offentlig sektor. Evalueringer og studier viser at forskningsinstituttene holder høy faglig kvalitet, har stor vitenskapelig publisering, høy siteringsfrekvens og henter hjem en stor andel av EU-midlene. </w:t>
      </w:r>
    </w:p>
    <w:p w14:paraId="3C23FAA8" w14:textId="77777777" w:rsidR="00284D3B" w:rsidRPr="00284D3B" w:rsidRDefault="00284D3B" w:rsidP="00284D3B">
      <w:pPr>
        <w:pBdr>
          <w:top w:val="single" w:sz="4" w:space="1" w:color="auto"/>
        </w:pBdr>
        <w:rPr>
          <w:rFonts w:asciiTheme="minorHAnsi" w:hAnsiTheme="minorHAnsi" w:cstheme="minorHAnsi"/>
          <w:i/>
          <w:iCs/>
          <w:sz w:val="18"/>
          <w:szCs w:val="18"/>
        </w:rPr>
      </w:pPr>
    </w:p>
    <w:p w14:paraId="4B53DD71" w14:textId="77777777" w:rsidR="00284D3B" w:rsidRPr="00284D3B" w:rsidRDefault="00284D3B" w:rsidP="00284D3B">
      <w:pPr>
        <w:pBdr>
          <w:top w:val="single" w:sz="4" w:space="1" w:color="auto"/>
        </w:pBdr>
        <w:rPr>
          <w:rFonts w:asciiTheme="minorHAnsi" w:hAnsiTheme="minorHAnsi" w:cstheme="minorHAnsi"/>
          <w:sz w:val="18"/>
          <w:szCs w:val="18"/>
        </w:rPr>
      </w:pPr>
      <w:r w:rsidRPr="00284D3B">
        <w:rPr>
          <w:rFonts w:asciiTheme="minorHAnsi" w:hAnsiTheme="minorHAnsi" w:cstheme="minorHAnsi"/>
          <w:i/>
          <w:iCs/>
          <w:sz w:val="18"/>
          <w:szCs w:val="18"/>
        </w:rPr>
        <w:t xml:space="preserve">Forskningsinstituttene er sentrale forsknings- og innovasjonspartnere for bedriftene og fungerer som akseleratorer for innovasjon og omstilling i samfunnet. Instituttene bygger en bro mellom grunnleggende forskning og private og offentlige virksomheters behov for ny kunnskap og nye løsninger. </w:t>
      </w:r>
      <w:r w:rsidRPr="00284D3B">
        <w:rPr>
          <w:rFonts w:asciiTheme="minorHAnsi" w:hAnsiTheme="minorHAnsi" w:cstheme="minorHAnsi"/>
          <w:sz w:val="18"/>
          <w:szCs w:val="18"/>
        </w:rPr>
        <w:t xml:space="preserve"> </w:t>
      </w:r>
    </w:p>
    <w:sectPr w:rsidR="00284D3B" w:rsidRPr="00284D3B" w:rsidSect="000D5765">
      <w:headerReference w:type="even" r:id="rId8"/>
      <w:headerReference w:type="default" r:id="rId9"/>
      <w:footerReference w:type="default" r:id="rId10"/>
      <w:headerReference w:type="first" r:id="rId11"/>
      <w:footerReference w:type="first" r:id="rId12"/>
      <w:pgSz w:w="11906" w:h="16838"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EE1CF" w14:textId="77777777" w:rsidR="00FD4B0C" w:rsidRDefault="00FD4B0C" w:rsidP="0032655B">
      <w:r>
        <w:separator/>
      </w:r>
    </w:p>
  </w:endnote>
  <w:endnote w:type="continuationSeparator" w:id="0">
    <w:p w14:paraId="54E58752" w14:textId="77777777" w:rsidR="00FD4B0C" w:rsidRDefault="00FD4B0C" w:rsidP="0032655B">
      <w:r>
        <w:continuationSeparator/>
      </w:r>
    </w:p>
  </w:endnote>
  <w:endnote w:type="continuationNotice" w:id="1">
    <w:p w14:paraId="2D95EBD5" w14:textId="77777777" w:rsidR="00FD4B0C" w:rsidRDefault="00FD4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Mono">
    <w:altName w:val="Courier New"/>
    <w:charset w:val="00"/>
    <w:family w:val="modern"/>
    <w:pitch w:val="fixed"/>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ED5A1" w14:textId="77777777" w:rsidR="00FB611F" w:rsidRDefault="00FB611F" w:rsidP="00081397">
    <w:pPr>
      <w:pStyle w:val="Footer"/>
      <w:jc w:val="center"/>
      <w:rPr>
        <w:rFonts w:ascii="Andale Mono" w:hAnsi="Andale Mono"/>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12A2D" w14:textId="35F682EE" w:rsidR="00FB611F" w:rsidRDefault="00CF705C" w:rsidP="00081397">
    <w:pPr>
      <w:pStyle w:val="Footer"/>
      <w:tabs>
        <w:tab w:val="clear" w:pos="4536"/>
        <w:tab w:val="clear" w:pos="9072"/>
        <w:tab w:val="left" w:pos="1276"/>
        <w:tab w:val="right" w:pos="6096"/>
        <w:tab w:val="left" w:pos="6521"/>
      </w:tabs>
      <w:ind w:right="-995"/>
      <w:rPr>
        <w:rFonts w:ascii="Andale Mono" w:hAnsi="Andale Mono"/>
        <w:sz w:val="16"/>
      </w:rPr>
    </w:pPr>
    <w:r>
      <w:rPr>
        <w:rFonts w:ascii="Arial" w:hAnsi="Arial" w:cs="Arial"/>
        <w:noProof/>
        <w:color w:val="336699"/>
        <w:sz w:val="20"/>
      </w:rPr>
      <mc:AlternateContent>
        <mc:Choice Requires="wps">
          <w:drawing>
            <wp:anchor distT="0" distB="0" distL="114300" distR="114300" simplePos="0" relativeHeight="251658240" behindDoc="0" locked="0" layoutInCell="1" allowOverlap="1" wp14:anchorId="447E3880" wp14:editId="4361A6D5">
              <wp:simplePos x="0" y="0"/>
              <wp:positionH relativeFrom="column">
                <wp:posOffset>54553</wp:posOffset>
              </wp:positionH>
              <wp:positionV relativeFrom="paragraph">
                <wp:posOffset>-100918</wp:posOffset>
              </wp:positionV>
              <wp:extent cx="6981493" cy="522539"/>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981493" cy="522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Header"/>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Tlf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 xml:space="preserve">Epost: </w:t>
                          </w:r>
                          <w:hyperlink r:id="rId1" w:history="1">
                            <w:r w:rsidR="006F312B" w:rsidRPr="00A54406">
                              <w:rPr>
                                <w:rStyle w:val="Hyperlink"/>
                                <w:rFonts w:asciiTheme="minorHAnsi" w:hAnsiTheme="minorHAnsi" w:cstheme="minorHAnsi"/>
                                <w:sz w:val="18"/>
                                <w:szCs w:val="18"/>
                                <w:lang w:val="nn-NO"/>
                              </w:rPr>
                              <w:t>agnes.landstad@abelia.no</w:t>
                            </w:r>
                          </w:hyperlink>
                        </w:p>
                        <w:p w14:paraId="7D631EEF" w14:textId="2F190100" w:rsidR="00CF705C" w:rsidRPr="00A54406" w:rsidRDefault="00FD4B0C" w:rsidP="006F312B">
                          <w:pPr>
                            <w:pStyle w:val="Header"/>
                            <w:rPr>
                              <w:rFonts w:asciiTheme="minorHAnsi" w:hAnsiTheme="minorHAnsi" w:cstheme="minorHAnsi"/>
                              <w:sz w:val="18"/>
                              <w:szCs w:val="18"/>
                              <w:lang w:val="nn-NO"/>
                            </w:rPr>
                          </w:pPr>
                          <w:hyperlink r:id="rId2" w:history="1">
                            <w:r w:rsidR="00A54406" w:rsidRPr="00A54406">
                              <w:rPr>
                                <w:rStyle w:val="Hyperlink"/>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Header"/>
                            <w:rPr>
                              <w:sz w:val="18"/>
                              <w:szCs w:val="18"/>
                              <w:lang w:val="nn-NO"/>
                            </w:rPr>
                          </w:pPr>
                        </w:p>
                        <w:p w14:paraId="638BB46C" w14:textId="77777777" w:rsidR="00FB611F" w:rsidRPr="00A54406" w:rsidRDefault="00FB611F" w:rsidP="00081397">
                          <w:pPr>
                            <w:ind w:left="1695" w:hanging="1695"/>
                            <w:rPr>
                              <w:sz w:val="18"/>
                              <w:szCs w:val="18"/>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3880" id="_x0000_t202" coordsize="21600,21600" o:spt="202" path="m,l,21600r21600,l21600,xe">
              <v:stroke joinstyle="miter"/>
              <v:path gradientshapeok="t" o:connecttype="rect"/>
            </v:shapetype>
            <v:shape id="Text Box 5" o:spid="_x0000_s1026" type="#_x0000_t202" style="position:absolute;margin-left:4.3pt;margin-top:-7.95pt;width:549.7pt;height:4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" filled="f" stroked="f">
              <v:textbo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Header"/>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Tlf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 xml:space="preserve">Epost: </w:t>
                    </w:r>
                    <w:hyperlink r:id="rId3" w:history="1">
                      <w:r w:rsidR="006F312B" w:rsidRPr="00A54406">
                        <w:rPr>
                          <w:rStyle w:val="Hyperlink"/>
                          <w:rFonts w:asciiTheme="minorHAnsi" w:hAnsiTheme="minorHAnsi" w:cstheme="minorHAnsi"/>
                          <w:sz w:val="18"/>
                          <w:szCs w:val="18"/>
                          <w:lang w:val="nn-NO"/>
                        </w:rPr>
                        <w:t>agnes.landstad@abelia.no</w:t>
                      </w:r>
                    </w:hyperlink>
                  </w:p>
                  <w:p w14:paraId="7D631EEF" w14:textId="2F190100" w:rsidR="00CF705C" w:rsidRPr="00A54406" w:rsidRDefault="00FD4B0C" w:rsidP="006F312B">
                    <w:pPr>
                      <w:pStyle w:val="Header"/>
                      <w:rPr>
                        <w:rFonts w:asciiTheme="minorHAnsi" w:hAnsiTheme="minorHAnsi" w:cstheme="minorHAnsi"/>
                        <w:sz w:val="18"/>
                        <w:szCs w:val="18"/>
                        <w:lang w:val="nn-NO"/>
                      </w:rPr>
                    </w:pPr>
                    <w:hyperlink r:id="rId4" w:history="1">
                      <w:r w:rsidR="00A54406" w:rsidRPr="00A54406">
                        <w:rPr>
                          <w:rStyle w:val="Hyperlink"/>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Header"/>
                      <w:rPr>
                        <w:sz w:val="18"/>
                        <w:szCs w:val="18"/>
                        <w:lang w:val="nn-NO"/>
                      </w:rPr>
                    </w:pPr>
                  </w:p>
                  <w:p w14:paraId="638BB46C" w14:textId="77777777" w:rsidR="00FB611F" w:rsidRPr="00A54406" w:rsidRDefault="00FB611F" w:rsidP="00081397">
                    <w:pPr>
                      <w:ind w:left="1695" w:hanging="1695"/>
                      <w:rPr>
                        <w:sz w:val="18"/>
                        <w:szCs w:val="18"/>
                        <w:lang w:val="nn-NO"/>
                      </w:rPr>
                    </w:pPr>
                  </w:p>
                </w:txbxContent>
              </v:textbox>
            </v:shape>
          </w:pict>
        </mc:Fallback>
      </mc:AlternateContent>
    </w:r>
    <w:r w:rsidR="00FB786A">
      <w:rPr>
        <w:noProof/>
      </w:rPr>
      <mc:AlternateContent>
        <mc:Choice Requires="wps">
          <w:drawing>
            <wp:anchor distT="0" distB="0" distL="114300" distR="114300" simplePos="0" relativeHeight="251658243" behindDoc="0" locked="0" layoutInCell="1" allowOverlap="1" wp14:anchorId="738B3A64" wp14:editId="55C70F2C">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3290" w14:textId="77777777" w:rsidR="00FB611F" w:rsidRPr="0032655B" w:rsidRDefault="00FB611F" w:rsidP="0032655B"/>
                        <w:p w14:paraId="7E2E88CA" w14:textId="77777777" w:rsidR="00FB611F" w:rsidRDefault="00FB61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3A64" id="Text Box 16" o:spid="_x0000_s1027" type="#_x0000_t202" style="position:absolute;margin-left:261.5pt;margin-top:-19.1pt;width:3.55pt;height:3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" filled="f" stroked="f">
              <v:textbox>
                <w:txbxContent>
                  <w:p w14:paraId="34E63290" w14:textId="77777777" w:rsidR="00FB611F" w:rsidRPr="0032655B" w:rsidRDefault="00FB611F" w:rsidP="0032655B"/>
                  <w:p w14:paraId="7E2E88CA" w14:textId="77777777" w:rsidR="00FB611F" w:rsidRDefault="00FB611F"/>
                </w:txbxContent>
              </v:textbox>
            </v:shape>
          </w:pict>
        </mc:Fallback>
      </mc:AlternateContent>
    </w:r>
    <w:r w:rsidR="00FB786A">
      <w:rPr>
        <w:noProof/>
      </w:rPr>
      <mc:AlternateContent>
        <mc:Choice Requires="wps">
          <w:drawing>
            <wp:anchor distT="0" distB="0" distL="114300" distR="114300" simplePos="0" relativeHeight="251658244"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02FC" w14:textId="77777777"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9C08" id="Text Box 17" o:spid="_x0000_s1028" type="#_x0000_t202" style="position:absolute;margin-left:386.15pt;margin-top:-.1pt;width:5.7pt;height:10.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" filled="f" stroked="f">
              <v:textbox>
                <w:txbxContent>
                  <w:p w14:paraId="487502FC" w14:textId="77777777" w:rsidR="00FB611F" w:rsidRPr="0032655B" w:rsidRDefault="00FB611F" w:rsidP="0032655B"/>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58242"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08B" id="Text Box 15" o:spid="_x0000_s1029" type="#_x0000_t202" style="position:absolute;margin-left:69.7pt;margin-top:22.55pt;width:186.05pt;height:3.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" filled="f" stroked="f">
              <v:textbo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v:textbox>
            </v:shape>
          </w:pict>
        </mc:Fallback>
      </mc:AlternateContent>
    </w:r>
    <w:r w:rsidR="00FB786A">
      <w:rPr>
        <w:noProof/>
      </w:rPr>
      <mc:AlternateContent>
        <mc:Choice Requires="wps">
          <w:drawing>
            <wp:anchor distT="0" distB="0" distL="114300" distR="114300" simplePos="0" relativeHeight="251658241" behindDoc="0" locked="0" layoutInCell="1" allowOverlap="1" wp14:anchorId="764D508A" wp14:editId="4D09AFD7">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340E" w14:textId="77777777" w:rsidR="00FB611F" w:rsidRDefault="00FB611F">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508A" id="Text Box 7" o:spid="_x0000_s1030" type="#_x0000_t202" style="position:absolute;margin-left:391.85pt;margin-top:-19.1pt;width:117.35pt;height:2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" filled="f" stroked="f">
              <v:textbox>
                <w:txbxContent>
                  <w:p w14:paraId="5DDF340E" w14:textId="77777777" w:rsidR="00FB611F" w:rsidRDefault="00FB611F">
                    <w:r>
                      <w:rPr>
                        <w:rFonts w:ascii="Arial" w:hAnsi="Arial" w:cs="Arial"/>
                        <w:sz w:val="18"/>
                        <w:szCs w:val="18"/>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176C7B" w14:textId="77777777" w:rsidR="00FD4B0C" w:rsidRDefault="00FD4B0C" w:rsidP="0032655B">
      <w:r>
        <w:separator/>
      </w:r>
    </w:p>
  </w:footnote>
  <w:footnote w:type="continuationSeparator" w:id="0">
    <w:p w14:paraId="47481A9C" w14:textId="77777777" w:rsidR="00FD4B0C" w:rsidRDefault="00FD4B0C" w:rsidP="0032655B">
      <w:r>
        <w:continuationSeparator/>
      </w:r>
    </w:p>
  </w:footnote>
  <w:footnote w:type="continuationNotice" w:id="1">
    <w:p w14:paraId="31FC21C1" w14:textId="77777777" w:rsidR="00FD4B0C" w:rsidRDefault="00FD4B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DD1AD" w14:textId="77777777" w:rsidR="00FB611F" w:rsidRDefault="00F04FB7">
    <w:pPr>
      <w:pStyle w:val="Header"/>
      <w:framePr w:wrap="around" w:vAnchor="text" w:hAnchor="margin" w:xAlign="right" w:y="1"/>
      <w:rPr>
        <w:rStyle w:val="PageNumber"/>
      </w:rPr>
    </w:pPr>
    <w:r>
      <w:rPr>
        <w:rStyle w:val="PageNumber"/>
      </w:rPr>
      <w:fldChar w:fldCharType="begin"/>
    </w:r>
    <w:r w:rsidR="00FB611F">
      <w:rPr>
        <w:rStyle w:val="PageNumber"/>
      </w:rPr>
      <w:instrText xml:space="preserve">PAGE  </w:instrText>
    </w:r>
    <w:r>
      <w:rPr>
        <w:rStyle w:val="PageNumber"/>
      </w:rPr>
      <w:fldChar w:fldCharType="separate"/>
    </w:r>
    <w:r w:rsidR="00FB611F">
      <w:rPr>
        <w:rStyle w:val="PageNumber"/>
        <w:noProof/>
      </w:rPr>
      <w:t>1</w:t>
    </w:r>
    <w:r>
      <w:rPr>
        <w:rStyle w:val="PageNumber"/>
      </w:rPr>
      <w:fldChar w:fldCharType="end"/>
    </w:r>
  </w:p>
  <w:p w14:paraId="0C519B1D" w14:textId="77777777" w:rsidR="00FB611F" w:rsidRDefault="00FB611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BE5ED" w14:textId="77777777" w:rsidR="00FB611F" w:rsidRPr="0060010A" w:rsidRDefault="00F04FB7">
    <w:pPr>
      <w:pStyle w:val="Header"/>
      <w:framePr w:wrap="around" w:vAnchor="text" w:hAnchor="margin" w:xAlign="right" w:y="1"/>
      <w:rPr>
        <w:rStyle w:val="PageNumber"/>
        <w:i/>
        <w:sz w:val="20"/>
      </w:rPr>
    </w:pPr>
    <w:r w:rsidRPr="0060010A">
      <w:rPr>
        <w:rStyle w:val="PageNumber"/>
        <w:i/>
        <w:sz w:val="20"/>
      </w:rPr>
      <w:fldChar w:fldCharType="begin"/>
    </w:r>
    <w:r w:rsidR="00FB611F" w:rsidRPr="0060010A">
      <w:rPr>
        <w:rStyle w:val="PageNumber"/>
        <w:i/>
        <w:sz w:val="20"/>
      </w:rPr>
      <w:instrText xml:space="preserve">PAGE  </w:instrText>
    </w:r>
    <w:r w:rsidRPr="0060010A">
      <w:rPr>
        <w:rStyle w:val="PageNumber"/>
        <w:i/>
        <w:sz w:val="20"/>
      </w:rPr>
      <w:fldChar w:fldCharType="separate"/>
    </w:r>
    <w:r w:rsidR="004B4F9D">
      <w:rPr>
        <w:rStyle w:val="PageNumber"/>
        <w:i/>
        <w:noProof/>
        <w:sz w:val="20"/>
      </w:rPr>
      <w:t>2</w:t>
    </w:r>
    <w:r w:rsidRPr="0060010A">
      <w:rPr>
        <w:rStyle w:val="PageNumber"/>
        <w:i/>
        <w:sz w:val="20"/>
      </w:rPr>
      <w:fldChar w:fldCharType="end"/>
    </w:r>
    <w:r w:rsidR="00FB611F" w:rsidRPr="0060010A">
      <w:rPr>
        <w:rStyle w:val="PageNumber"/>
        <w:i/>
        <w:sz w:val="20"/>
      </w:rPr>
      <w:t xml:space="preserve"> av </w:t>
    </w:r>
    <w:r w:rsidRPr="0060010A">
      <w:rPr>
        <w:rStyle w:val="PageNumber"/>
        <w:i/>
        <w:sz w:val="20"/>
      </w:rPr>
      <w:fldChar w:fldCharType="begin"/>
    </w:r>
    <w:r w:rsidR="00FB611F" w:rsidRPr="0060010A">
      <w:rPr>
        <w:rStyle w:val="PageNumber"/>
        <w:i/>
        <w:sz w:val="20"/>
      </w:rPr>
      <w:instrText xml:space="preserve"> NUMPAGES </w:instrText>
    </w:r>
    <w:r w:rsidRPr="0060010A">
      <w:rPr>
        <w:rStyle w:val="PageNumber"/>
        <w:i/>
        <w:sz w:val="20"/>
      </w:rPr>
      <w:fldChar w:fldCharType="separate"/>
    </w:r>
    <w:r w:rsidR="004B4F9D">
      <w:rPr>
        <w:rStyle w:val="PageNumber"/>
        <w:i/>
        <w:noProof/>
        <w:sz w:val="20"/>
      </w:rPr>
      <w:t>3</w:t>
    </w:r>
    <w:r w:rsidRPr="0060010A">
      <w:rPr>
        <w:rStyle w:val="PageNumber"/>
        <w:i/>
        <w:sz w:val="20"/>
      </w:rPr>
      <w:fldChar w:fldCharType="end"/>
    </w:r>
  </w:p>
  <w:p w14:paraId="08707B89" w14:textId="77777777" w:rsidR="00FB611F" w:rsidRDefault="00FB611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915C4" w14:textId="26D66904" w:rsidR="00FB611F" w:rsidRPr="00CF705C" w:rsidRDefault="000D5765" w:rsidP="00CF705C">
    <w:pPr>
      <w:pStyle w:val="Header"/>
      <w:jc w:val="right"/>
      <w:rPr>
        <w:rFonts w:asciiTheme="minorHAnsi" w:hAnsiTheme="minorHAnsi" w:cstheme="minorHAnsi"/>
        <w:sz w:val="20"/>
        <w:lang w:val="nn-NO"/>
      </w:rPr>
    </w:pPr>
    <w:r>
      <w:rPr>
        <w:noProof/>
      </w:rPr>
      <w:drawing>
        <wp:inline distT="0" distB="0" distL="0" distR="0" wp14:anchorId="65D1EA9E" wp14:editId="20269707">
          <wp:extent cx="2469515" cy="422023"/>
          <wp:effectExtent l="0" t="0" r="698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520" cy="435012"/>
                  </a:xfrm>
                  <a:prstGeom prst="rect">
                    <a:avLst/>
                  </a:prstGeom>
                  <a:noFill/>
                  <a:ln>
                    <a:noFill/>
                  </a:ln>
                </pic:spPr>
              </pic:pic>
            </a:graphicData>
          </a:graphic>
        </wp:inline>
      </w:drawing>
    </w:r>
  </w:p>
  <w:p w14:paraId="2634D0AE" w14:textId="77777777" w:rsidR="00FB611F" w:rsidRPr="000606B2" w:rsidRDefault="00FB611F" w:rsidP="00081397">
    <w:pPr>
      <w:pStyle w:val="Header"/>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3053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F65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04D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E27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181A7C"/>
    <w:multiLevelType w:val="hybridMultilevel"/>
    <w:tmpl w:val="6368F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B9F7D85"/>
    <w:multiLevelType w:val="hybridMultilevel"/>
    <w:tmpl w:val="DD0A4F1E"/>
    <w:lvl w:ilvl="0" w:tplc="E5A47B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15:restartNumberingAfterBreak="0">
    <w:nsid w:val="13205D00"/>
    <w:multiLevelType w:val="hybridMultilevel"/>
    <w:tmpl w:val="2ED4CBC2"/>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4" w15:restartNumberingAfterBreak="0">
    <w:nsid w:val="1BE25AEB"/>
    <w:multiLevelType w:val="hybridMultilevel"/>
    <w:tmpl w:val="0B02C4F0"/>
    <w:lvl w:ilvl="0" w:tplc="A05424F4">
      <w:numFmt w:val="bullet"/>
      <w:lvlText w:val="•"/>
      <w:lvlJc w:val="left"/>
      <w:pPr>
        <w:ind w:left="705" w:hanging="705"/>
      </w:pPr>
      <w:rPr>
        <w:rFonts w:ascii="Calibri" w:eastAsia="Times New Roman"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1C4C34DE"/>
    <w:multiLevelType w:val="hybridMultilevel"/>
    <w:tmpl w:val="BD587CE6"/>
    <w:lvl w:ilvl="0" w:tplc="39921D20">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100153"/>
    <w:multiLevelType w:val="hybridMultilevel"/>
    <w:tmpl w:val="A2B6C5CC"/>
    <w:lvl w:ilvl="0" w:tplc="0414000F">
      <w:start w:val="1"/>
      <w:numFmt w:val="decimal"/>
      <w:lvlText w:val="%1."/>
      <w:lvlJc w:val="left"/>
      <w:pPr>
        <w:ind w:left="360" w:hanging="360"/>
      </w:pPr>
      <w:rPr>
        <w:rFonts w:hint="default"/>
      </w:rPr>
    </w:lvl>
    <w:lvl w:ilvl="1" w:tplc="2E7EE9F6">
      <w:start w:val="1"/>
      <w:numFmt w:val="decimal"/>
      <w:lvlText w:val="%2."/>
      <w:lvlJc w:val="left"/>
      <w:pPr>
        <w:ind w:left="1430" w:hanging="71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23551C43"/>
    <w:multiLevelType w:val="hybridMultilevel"/>
    <w:tmpl w:val="FA461AF0"/>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19" w15:restartNumberingAfterBreak="0">
    <w:nsid w:val="340322E1"/>
    <w:multiLevelType w:val="hybridMultilevel"/>
    <w:tmpl w:val="A2504EFE"/>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20" w15:restartNumberingAfterBreak="0">
    <w:nsid w:val="399F5320"/>
    <w:multiLevelType w:val="hybridMultilevel"/>
    <w:tmpl w:val="87A4F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693518"/>
    <w:multiLevelType w:val="hybridMultilevel"/>
    <w:tmpl w:val="24005E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2A2EB4"/>
    <w:multiLevelType w:val="hybridMultilevel"/>
    <w:tmpl w:val="83EEB9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C2901E2"/>
    <w:multiLevelType w:val="hybridMultilevel"/>
    <w:tmpl w:val="ADE4A0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4EA9643E"/>
    <w:multiLevelType w:val="hybridMultilevel"/>
    <w:tmpl w:val="C7AA4F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455071E"/>
    <w:multiLevelType w:val="hybridMultilevel"/>
    <w:tmpl w:val="8A3CA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D5C4EF1"/>
    <w:multiLevelType w:val="hybridMultilevel"/>
    <w:tmpl w:val="25661C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EF7EBF"/>
    <w:multiLevelType w:val="hybridMultilevel"/>
    <w:tmpl w:val="F4DADE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2"/>
  </w:num>
  <w:num w:numId="2">
    <w:abstractNumId w:val="17"/>
  </w:num>
  <w:num w:numId="3">
    <w:abstractNumId w:val="13"/>
  </w:num>
  <w:num w:numId="4">
    <w:abstractNumId w:val="25"/>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7"/>
  </w:num>
  <w:num w:numId="16">
    <w:abstractNumId w:val="18"/>
  </w:num>
  <w:num w:numId="17">
    <w:abstractNumId w:val="11"/>
  </w:num>
  <w:num w:numId="18">
    <w:abstractNumId w:val="21"/>
  </w:num>
  <w:num w:numId="19">
    <w:abstractNumId w:val="20"/>
  </w:num>
  <w:num w:numId="20">
    <w:abstractNumId w:val="26"/>
  </w:num>
  <w:num w:numId="21">
    <w:abstractNumId w:val="19"/>
  </w:num>
  <w:num w:numId="22">
    <w:abstractNumId w:val="10"/>
  </w:num>
  <w:num w:numId="23">
    <w:abstractNumId w:val="12"/>
  </w:num>
  <w:num w:numId="24">
    <w:abstractNumId w:val="15"/>
  </w:num>
  <w:num w:numId="25">
    <w:abstractNumId w:val="24"/>
  </w:num>
  <w:num w:numId="26">
    <w:abstractNumId w:val="16"/>
  </w:num>
  <w:num w:numId="27">
    <w:abstractNumId w:val="23"/>
  </w:num>
  <w:num w:numId="28">
    <w:abstractNumId w:val="14"/>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ABF"/>
    <w:rsid w:val="0000470F"/>
    <w:rsid w:val="000058DB"/>
    <w:rsid w:val="000155D2"/>
    <w:rsid w:val="000212AC"/>
    <w:rsid w:val="00033473"/>
    <w:rsid w:val="00052912"/>
    <w:rsid w:val="000606B2"/>
    <w:rsid w:val="000670C6"/>
    <w:rsid w:val="00081397"/>
    <w:rsid w:val="00091C09"/>
    <w:rsid w:val="00096085"/>
    <w:rsid w:val="000A0D28"/>
    <w:rsid w:val="000A4B4A"/>
    <w:rsid w:val="000C64F9"/>
    <w:rsid w:val="000D5765"/>
    <w:rsid w:val="000F1C16"/>
    <w:rsid w:val="001022A0"/>
    <w:rsid w:val="00107266"/>
    <w:rsid w:val="00116808"/>
    <w:rsid w:val="00171FD1"/>
    <w:rsid w:val="00175884"/>
    <w:rsid w:val="001769F5"/>
    <w:rsid w:val="00192819"/>
    <w:rsid w:val="001A1978"/>
    <w:rsid w:val="001D252C"/>
    <w:rsid w:val="001F70AD"/>
    <w:rsid w:val="00200F2B"/>
    <w:rsid w:val="00262E46"/>
    <w:rsid w:val="00284D3B"/>
    <w:rsid w:val="00284E8B"/>
    <w:rsid w:val="00293FA0"/>
    <w:rsid w:val="002956BE"/>
    <w:rsid w:val="002A1F15"/>
    <w:rsid w:val="002F72BA"/>
    <w:rsid w:val="0032655B"/>
    <w:rsid w:val="00330695"/>
    <w:rsid w:val="00337E94"/>
    <w:rsid w:val="00343262"/>
    <w:rsid w:val="003546D8"/>
    <w:rsid w:val="00364017"/>
    <w:rsid w:val="00382B75"/>
    <w:rsid w:val="003A2895"/>
    <w:rsid w:val="003A2EE8"/>
    <w:rsid w:val="003B262C"/>
    <w:rsid w:val="003C04E3"/>
    <w:rsid w:val="003E3477"/>
    <w:rsid w:val="003F12AD"/>
    <w:rsid w:val="004040AB"/>
    <w:rsid w:val="004056E1"/>
    <w:rsid w:val="00411DFE"/>
    <w:rsid w:val="00430FD4"/>
    <w:rsid w:val="00432A73"/>
    <w:rsid w:val="00440B75"/>
    <w:rsid w:val="004451F0"/>
    <w:rsid w:val="0045730F"/>
    <w:rsid w:val="0046426A"/>
    <w:rsid w:val="00481921"/>
    <w:rsid w:val="00493B33"/>
    <w:rsid w:val="004B424D"/>
    <w:rsid w:val="004B4F9D"/>
    <w:rsid w:val="004C209C"/>
    <w:rsid w:val="004D289C"/>
    <w:rsid w:val="004D2FD5"/>
    <w:rsid w:val="004E1120"/>
    <w:rsid w:val="00514054"/>
    <w:rsid w:val="00526FCF"/>
    <w:rsid w:val="00544A76"/>
    <w:rsid w:val="00544D61"/>
    <w:rsid w:val="0055720C"/>
    <w:rsid w:val="0057182D"/>
    <w:rsid w:val="00592497"/>
    <w:rsid w:val="005975AB"/>
    <w:rsid w:val="00597B2B"/>
    <w:rsid w:val="005C7D27"/>
    <w:rsid w:val="005F2009"/>
    <w:rsid w:val="00620CF7"/>
    <w:rsid w:val="006270D2"/>
    <w:rsid w:val="00646028"/>
    <w:rsid w:val="00662CEF"/>
    <w:rsid w:val="00663C70"/>
    <w:rsid w:val="006770FA"/>
    <w:rsid w:val="00691512"/>
    <w:rsid w:val="00697BAC"/>
    <w:rsid w:val="006A6914"/>
    <w:rsid w:val="006C142E"/>
    <w:rsid w:val="006C3364"/>
    <w:rsid w:val="006E347A"/>
    <w:rsid w:val="006E4CFA"/>
    <w:rsid w:val="006F0AF5"/>
    <w:rsid w:val="006F312B"/>
    <w:rsid w:val="006F49B0"/>
    <w:rsid w:val="006F7125"/>
    <w:rsid w:val="00702155"/>
    <w:rsid w:val="00707582"/>
    <w:rsid w:val="007128F3"/>
    <w:rsid w:val="00720C62"/>
    <w:rsid w:val="007309F1"/>
    <w:rsid w:val="007342BB"/>
    <w:rsid w:val="00734867"/>
    <w:rsid w:val="00742A02"/>
    <w:rsid w:val="00753218"/>
    <w:rsid w:val="00786DAC"/>
    <w:rsid w:val="007A30FD"/>
    <w:rsid w:val="007A434E"/>
    <w:rsid w:val="007B5C8E"/>
    <w:rsid w:val="007C553D"/>
    <w:rsid w:val="007F3FB0"/>
    <w:rsid w:val="007F5345"/>
    <w:rsid w:val="00806BDE"/>
    <w:rsid w:val="00820304"/>
    <w:rsid w:val="008217C5"/>
    <w:rsid w:val="0084088B"/>
    <w:rsid w:val="00841CAF"/>
    <w:rsid w:val="00846BB8"/>
    <w:rsid w:val="00866D98"/>
    <w:rsid w:val="00874D10"/>
    <w:rsid w:val="0087530F"/>
    <w:rsid w:val="00876E64"/>
    <w:rsid w:val="00880DB4"/>
    <w:rsid w:val="00891E21"/>
    <w:rsid w:val="008A3B6E"/>
    <w:rsid w:val="008F0095"/>
    <w:rsid w:val="00941175"/>
    <w:rsid w:val="009425BA"/>
    <w:rsid w:val="0095040A"/>
    <w:rsid w:val="009750FC"/>
    <w:rsid w:val="00991667"/>
    <w:rsid w:val="009A2161"/>
    <w:rsid w:val="009A4485"/>
    <w:rsid w:val="009F78A1"/>
    <w:rsid w:val="00A25B4A"/>
    <w:rsid w:val="00A26A85"/>
    <w:rsid w:val="00A42EB2"/>
    <w:rsid w:val="00A47334"/>
    <w:rsid w:val="00A54406"/>
    <w:rsid w:val="00A67A03"/>
    <w:rsid w:val="00A75EAF"/>
    <w:rsid w:val="00A803C4"/>
    <w:rsid w:val="00AA471D"/>
    <w:rsid w:val="00AB3066"/>
    <w:rsid w:val="00AC06CF"/>
    <w:rsid w:val="00AC1704"/>
    <w:rsid w:val="00AC7834"/>
    <w:rsid w:val="00AD45C0"/>
    <w:rsid w:val="00AD58F0"/>
    <w:rsid w:val="00AE5638"/>
    <w:rsid w:val="00AF2F95"/>
    <w:rsid w:val="00AF5ABF"/>
    <w:rsid w:val="00AF7941"/>
    <w:rsid w:val="00B30547"/>
    <w:rsid w:val="00B338D6"/>
    <w:rsid w:val="00B50B90"/>
    <w:rsid w:val="00B5397D"/>
    <w:rsid w:val="00B57D39"/>
    <w:rsid w:val="00B63E13"/>
    <w:rsid w:val="00B72637"/>
    <w:rsid w:val="00B807F8"/>
    <w:rsid w:val="00B85050"/>
    <w:rsid w:val="00BB2D4F"/>
    <w:rsid w:val="00BF3FD8"/>
    <w:rsid w:val="00C05D61"/>
    <w:rsid w:val="00C138AA"/>
    <w:rsid w:val="00C32DB3"/>
    <w:rsid w:val="00C36E5A"/>
    <w:rsid w:val="00C40331"/>
    <w:rsid w:val="00C817A4"/>
    <w:rsid w:val="00C913C7"/>
    <w:rsid w:val="00CB07B3"/>
    <w:rsid w:val="00CB1ED3"/>
    <w:rsid w:val="00CC263A"/>
    <w:rsid w:val="00CD5088"/>
    <w:rsid w:val="00CE3775"/>
    <w:rsid w:val="00CF4019"/>
    <w:rsid w:val="00CF4DEB"/>
    <w:rsid w:val="00CF705C"/>
    <w:rsid w:val="00D13E3B"/>
    <w:rsid w:val="00D5765A"/>
    <w:rsid w:val="00D63FAC"/>
    <w:rsid w:val="00D932FD"/>
    <w:rsid w:val="00DA3E43"/>
    <w:rsid w:val="00DA684D"/>
    <w:rsid w:val="00DB2EFF"/>
    <w:rsid w:val="00DB33FD"/>
    <w:rsid w:val="00DC7ED7"/>
    <w:rsid w:val="00DD1434"/>
    <w:rsid w:val="00DD1B8F"/>
    <w:rsid w:val="00DE49A7"/>
    <w:rsid w:val="00DE7F10"/>
    <w:rsid w:val="00E013CE"/>
    <w:rsid w:val="00E14893"/>
    <w:rsid w:val="00E21232"/>
    <w:rsid w:val="00E510BA"/>
    <w:rsid w:val="00E53C4D"/>
    <w:rsid w:val="00E72F4E"/>
    <w:rsid w:val="00E90653"/>
    <w:rsid w:val="00E907D5"/>
    <w:rsid w:val="00EB07F5"/>
    <w:rsid w:val="00EB3A4A"/>
    <w:rsid w:val="00EB70E0"/>
    <w:rsid w:val="00EB7C04"/>
    <w:rsid w:val="00EC3593"/>
    <w:rsid w:val="00EC69F6"/>
    <w:rsid w:val="00EE4518"/>
    <w:rsid w:val="00EF764A"/>
    <w:rsid w:val="00F01A42"/>
    <w:rsid w:val="00F02D39"/>
    <w:rsid w:val="00F03C5E"/>
    <w:rsid w:val="00F04FB7"/>
    <w:rsid w:val="00F430EB"/>
    <w:rsid w:val="00F65E24"/>
    <w:rsid w:val="00F91254"/>
    <w:rsid w:val="00F9340B"/>
    <w:rsid w:val="00F95964"/>
    <w:rsid w:val="00FA5BA7"/>
    <w:rsid w:val="00FA6F44"/>
    <w:rsid w:val="00FB2061"/>
    <w:rsid w:val="00FB611F"/>
    <w:rsid w:val="00FB786A"/>
    <w:rsid w:val="00FD4B0C"/>
    <w:rsid w:val="00FE7E91"/>
    <w:rsid w:val="00FF76BA"/>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BA89A3"/>
  <w15:docId w15:val="{E4CBF9F2-92C1-411E-8C27-E7406A89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B"/>
    <w:rPr>
      <w:rFonts w:ascii="Times New Roman" w:eastAsia="Times New Roman" w:hAnsi="Times New Roman"/>
      <w:sz w:val="24"/>
    </w:rPr>
  </w:style>
  <w:style w:type="paragraph" w:styleId="Heading1">
    <w:name w:val="heading 1"/>
    <w:basedOn w:val="Normal"/>
    <w:next w:val="Normal"/>
    <w:link w:val="Heading1Char"/>
    <w:qFormat/>
    <w:rsid w:val="0032655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32655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2655B"/>
    <w:rPr>
      <w:rFonts w:ascii="Arial" w:eastAsia="Times New Roman" w:hAnsi="Arial" w:cs="Arial"/>
      <w:b/>
      <w:bCs/>
      <w:kern w:val="32"/>
      <w:sz w:val="32"/>
      <w:szCs w:val="32"/>
      <w:lang w:eastAsia="nb-NO"/>
    </w:rPr>
  </w:style>
  <w:style w:type="character" w:customStyle="1" w:styleId="Heading3Char">
    <w:name w:val="Heading 3 Char"/>
    <w:link w:val="Heading3"/>
    <w:rsid w:val="0032655B"/>
    <w:rPr>
      <w:rFonts w:ascii="Arial" w:eastAsia="Times New Roman" w:hAnsi="Arial" w:cs="Arial"/>
      <w:b/>
      <w:bCs/>
      <w:sz w:val="26"/>
      <w:szCs w:val="26"/>
      <w:lang w:eastAsia="nb-NO"/>
    </w:rPr>
  </w:style>
  <w:style w:type="paragraph" w:styleId="Header">
    <w:name w:val="header"/>
    <w:basedOn w:val="Normal"/>
    <w:link w:val="HeaderChar"/>
    <w:rsid w:val="0032655B"/>
    <w:pPr>
      <w:tabs>
        <w:tab w:val="center" w:pos="4536"/>
        <w:tab w:val="right" w:pos="9072"/>
      </w:tabs>
    </w:pPr>
  </w:style>
  <w:style w:type="character" w:customStyle="1" w:styleId="HeaderChar">
    <w:name w:val="Header Char"/>
    <w:link w:val="Header"/>
    <w:rsid w:val="0032655B"/>
    <w:rPr>
      <w:rFonts w:ascii="Times New Roman" w:eastAsia="Times New Roman" w:hAnsi="Times New Roman" w:cs="Times New Roman"/>
      <w:sz w:val="24"/>
      <w:szCs w:val="20"/>
      <w:lang w:eastAsia="nb-NO"/>
    </w:rPr>
  </w:style>
  <w:style w:type="paragraph" w:styleId="Footer">
    <w:name w:val="footer"/>
    <w:basedOn w:val="Normal"/>
    <w:link w:val="FooterChar"/>
    <w:rsid w:val="0032655B"/>
    <w:pPr>
      <w:tabs>
        <w:tab w:val="center" w:pos="4536"/>
        <w:tab w:val="right" w:pos="9072"/>
      </w:tabs>
    </w:pPr>
  </w:style>
  <w:style w:type="character" w:customStyle="1" w:styleId="FooterChar">
    <w:name w:val="Footer Char"/>
    <w:link w:val="Footer"/>
    <w:rsid w:val="0032655B"/>
    <w:rPr>
      <w:rFonts w:ascii="Times New Roman" w:eastAsia="Times New Roman" w:hAnsi="Times New Roman" w:cs="Times New Roman"/>
      <w:sz w:val="24"/>
      <w:szCs w:val="20"/>
      <w:lang w:eastAsia="nb-NO"/>
    </w:rPr>
  </w:style>
  <w:style w:type="character" w:styleId="PageNumber">
    <w:name w:val="page number"/>
    <w:basedOn w:val="DefaultParagraphFont"/>
    <w:rsid w:val="0032655B"/>
  </w:style>
  <w:style w:type="character" w:styleId="Hyperlink">
    <w:name w:val="Hyperlink"/>
    <w:rsid w:val="0032655B"/>
    <w:rPr>
      <w:color w:val="0000FF"/>
      <w:u w:val="single"/>
    </w:rPr>
  </w:style>
  <w:style w:type="table" w:styleId="TableGrid">
    <w:name w:val="Table Grid"/>
    <w:basedOn w:val="TableNorma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32655B"/>
    <w:rPr>
      <w:sz w:val="20"/>
    </w:rPr>
  </w:style>
  <w:style w:type="character" w:customStyle="1" w:styleId="FootnoteTextChar">
    <w:name w:val="Footnote Text Char"/>
    <w:link w:val="FootnoteText"/>
    <w:semiHidden/>
    <w:rsid w:val="0032655B"/>
    <w:rPr>
      <w:rFonts w:ascii="Times New Roman" w:eastAsia="Times New Roman" w:hAnsi="Times New Roman" w:cs="Times New Roman"/>
      <w:sz w:val="20"/>
      <w:szCs w:val="20"/>
      <w:lang w:eastAsia="nb-NO"/>
    </w:rPr>
  </w:style>
  <w:style w:type="character" w:styleId="FootnoteReference">
    <w:name w:val="footnote reference"/>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alloonText">
    <w:name w:val="Balloon Text"/>
    <w:basedOn w:val="Normal"/>
    <w:semiHidden/>
    <w:rsid w:val="00691512"/>
    <w:rPr>
      <w:rFonts w:ascii="Tahoma" w:hAnsi="Tahoma" w:cs="Tahoma"/>
      <w:sz w:val="16"/>
      <w:szCs w:val="16"/>
    </w:rPr>
  </w:style>
  <w:style w:type="paragraph" w:styleId="ListParagraph">
    <w:name w:val="List Paragraph"/>
    <w:basedOn w:val="Normal"/>
    <w:uiPriority w:val="34"/>
    <w:qFormat/>
    <w:rsid w:val="000606B2"/>
    <w:pPr>
      <w:ind w:left="720"/>
    </w:pPr>
    <w:rPr>
      <w:rFonts w:ascii="Calibri" w:hAnsi="Calibri"/>
      <w:sz w:val="22"/>
      <w:szCs w:val="22"/>
      <w:lang w:eastAsia="en-US"/>
    </w:rPr>
  </w:style>
  <w:style w:type="paragraph" w:customStyle="1" w:styleId="Default">
    <w:name w:val="Default"/>
    <w:rsid w:val="000606B2"/>
    <w:pPr>
      <w:autoSpaceDE w:val="0"/>
      <w:autoSpaceDN w:val="0"/>
      <w:adjustRightInd w:val="0"/>
    </w:pPr>
    <w:rPr>
      <w:rFonts w:ascii="Times New Roman" w:hAnsi="Times New Roman"/>
      <w:color w:val="000000"/>
      <w:sz w:val="24"/>
      <w:szCs w:val="24"/>
      <w:lang w:val="en-US" w:eastAsia="en-US"/>
    </w:rPr>
  </w:style>
  <w:style w:type="character" w:styleId="CommentReference">
    <w:name w:val="annotation reference"/>
    <w:basedOn w:val="DefaultParagraphFont"/>
    <w:uiPriority w:val="99"/>
    <w:semiHidden/>
    <w:unhideWhenUsed/>
    <w:rsid w:val="00C138AA"/>
    <w:rPr>
      <w:sz w:val="16"/>
      <w:szCs w:val="16"/>
    </w:rPr>
  </w:style>
  <w:style w:type="paragraph" w:styleId="CommentText">
    <w:name w:val="annotation text"/>
    <w:basedOn w:val="Normal"/>
    <w:link w:val="CommentTextChar"/>
    <w:uiPriority w:val="99"/>
    <w:semiHidden/>
    <w:unhideWhenUsed/>
    <w:rsid w:val="00C138AA"/>
    <w:rPr>
      <w:sz w:val="20"/>
    </w:rPr>
  </w:style>
  <w:style w:type="character" w:customStyle="1" w:styleId="CommentTextChar">
    <w:name w:val="Comment Text Char"/>
    <w:basedOn w:val="DefaultParagraphFont"/>
    <w:link w:val="CommentText"/>
    <w:uiPriority w:val="99"/>
    <w:semiHidden/>
    <w:rsid w:val="00C138AA"/>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138AA"/>
    <w:rPr>
      <w:b/>
      <w:bCs/>
    </w:rPr>
  </w:style>
  <w:style w:type="character" w:customStyle="1" w:styleId="CommentSubjectChar">
    <w:name w:val="Comment Subject Char"/>
    <w:basedOn w:val="CommentTextChar"/>
    <w:link w:val="CommentSubject"/>
    <w:uiPriority w:val="99"/>
    <w:semiHidden/>
    <w:rsid w:val="00C138AA"/>
    <w:rPr>
      <w:rFonts w:ascii="Times New Roman" w:eastAsia="Times New Roman" w:hAnsi="Times New Roman"/>
      <w:b/>
      <w:bCs/>
    </w:rPr>
  </w:style>
  <w:style w:type="character" w:styleId="UnresolvedMention">
    <w:name w:val="Unresolved Mention"/>
    <w:basedOn w:val="DefaultParagraphFont"/>
    <w:uiPriority w:val="99"/>
    <w:semiHidden/>
    <w:unhideWhenUsed/>
    <w:rsid w:val="006F3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mailto:agnes.landstad@abelia.no" TargetMode="External"/><Relationship Id="rId2" Type="http://schemas.openxmlformats.org/officeDocument/2006/relationships/hyperlink" Target="https://www.abelia.no/bransjeforeninger/ffa-forskningsinstituttenes-fellesarena/" TargetMode="External"/><Relationship Id="rId1" Type="http://schemas.openxmlformats.org/officeDocument/2006/relationships/hyperlink" Target="mailto:agnes.landstad@abelia.no" TargetMode="External"/><Relationship Id="rId4" Type="http://schemas.openxmlformats.org/officeDocument/2006/relationships/hyperlink" Target="https://www.abelia.no/bransjeforeninger/ffa-forskningsinstituttenes-fellesaren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490437A6770C74B8CB12D96D7C49688" ma:contentTypeVersion="11" ma:contentTypeDescription="Create a new document." ma:contentTypeScope="" ma:versionID="72c590a99c474aa5b11ec13ff5bcb3d7">
  <xsd:schema xmlns:xsd="http://www.w3.org/2001/XMLSchema" xmlns:xs="http://www.w3.org/2001/XMLSchema" xmlns:p="http://schemas.microsoft.com/office/2006/metadata/properties" xmlns:ns2="e1ec469b-8f6e-4d89-91a8-2ca6b2677eea" xmlns:ns3="b0d5cea6-c6ee-4dc4-a58b-450b8a5e29b3" targetNamespace="http://schemas.microsoft.com/office/2006/metadata/properties" ma:root="true" ma:fieldsID="3f1903878bf46891ed44344e327350bf" ns2:_="" ns3:_="">
    <xsd:import namespace="e1ec469b-8f6e-4d89-91a8-2ca6b2677eea"/>
    <xsd:import namespace="b0d5cea6-c6ee-4dc4-a58b-450b8a5e29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c469b-8f6e-4d89-91a8-2ca6b2677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d5cea6-c6ee-4dc4-a58b-450b8a5e29b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119b49b-2cc3-444e-b755-8692f4554da6"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445106-F007-47E1-A7D7-E675BF13D09E}">
  <ds:schemaRefs>
    <ds:schemaRef ds:uri="http://schemas.openxmlformats.org/officeDocument/2006/bibliography"/>
  </ds:schemaRefs>
</ds:datastoreItem>
</file>

<file path=customXml/itemProps2.xml><?xml version="1.0" encoding="utf-8"?>
<ds:datastoreItem xmlns:ds="http://schemas.openxmlformats.org/officeDocument/2006/customXml" ds:itemID="{75474314-56AF-49C7-B370-06CF47BDF569}"/>
</file>

<file path=customXml/itemProps3.xml><?xml version="1.0" encoding="utf-8"?>
<ds:datastoreItem xmlns:ds="http://schemas.openxmlformats.org/officeDocument/2006/customXml" ds:itemID="{16927EDC-60A2-4B30-84EF-CAF33CC298DB}"/>
</file>

<file path=customXml/itemProps4.xml><?xml version="1.0" encoding="utf-8"?>
<ds:datastoreItem xmlns:ds="http://schemas.openxmlformats.org/officeDocument/2006/customXml" ds:itemID="{EBD2FBE1-F209-46CB-9184-01CD411A9230}"/>
</file>

<file path=customXml/itemProps5.xml><?xml version="1.0" encoding="utf-8"?>
<ds:datastoreItem xmlns:ds="http://schemas.openxmlformats.org/officeDocument/2006/customXml" ds:itemID="{4EF81E39-4311-41B9-B34E-B068E60BB224}"/>
</file>

<file path=docProps/app.xml><?xml version="1.0" encoding="utf-8"?>
<Properties xmlns="http://schemas.openxmlformats.org/officeDocument/2006/extended-properties" xmlns:vt="http://schemas.openxmlformats.org/officeDocument/2006/docPropsVTypes">
  <Template>Normal.dotm</Template>
  <TotalTime>37</TotalTime>
  <Pages>1</Pages>
  <Words>1434</Words>
  <Characters>8177</Characters>
  <Application>Microsoft Office Word</Application>
  <DocSecurity>4</DocSecurity>
  <Lines>68</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Kunnskapsdepartementet</vt:lpstr>
      <vt:lpstr>Kunnskapsdepartementet</vt:lpstr>
    </vt:vector>
  </TitlesOfParts>
  <Company>NINA</Company>
  <LinksUpToDate>false</LinksUpToDate>
  <CharactersWithSpaces>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subject/>
  <dc:creator>Gunnar Jordfald</dc:creator>
  <cp:keywords/>
  <cp:lastModifiedBy>Agnes Landstad</cp:lastModifiedBy>
  <cp:revision>23</cp:revision>
  <cp:lastPrinted>2015-04-22T16:47:00Z</cp:lastPrinted>
  <dcterms:created xsi:type="dcterms:W3CDTF">2020-10-12T18:18:00Z</dcterms:created>
  <dcterms:modified xsi:type="dcterms:W3CDTF">2020-10-12T18:58:00Z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0x010100B490437A6770C74B8CB12D96D7C49688</vt:lpwstr>
  </property>
</Properties>
</file>