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11DEC069" w:rsidR="009A2161" w:rsidRPr="00CF30C5" w:rsidRDefault="00CF30C5" w:rsidP="00874D10">
      <w:pPr>
        <w:rPr>
          <w:rFonts w:ascii="Calibri" w:hAnsi="Calibri" w:cs="Calibri"/>
          <w:b/>
          <w:sz w:val="22"/>
          <w:szCs w:val="22"/>
        </w:rPr>
      </w:pPr>
      <w:r w:rsidRPr="00CF30C5">
        <w:rPr>
          <w:rFonts w:ascii="Calibri" w:hAnsi="Calibri" w:cs="Calibri"/>
          <w:b/>
          <w:sz w:val="22"/>
          <w:szCs w:val="22"/>
        </w:rPr>
        <w:t>Finansieringsutvalge</w:t>
      </w:r>
      <w:r>
        <w:rPr>
          <w:rFonts w:ascii="Calibri" w:hAnsi="Calibri" w:cs="Calibri"/>
          <w:b/>
          <w:sz w:val="22"/>
          <w:szCs w:val="22"/>
        </w:rPr>
        <w:t>t</w:t>
      </w:r>
    </w:p>
    <w:p w14:paraId="19603401" w14:textId="1614C5FC" w:rsidR="00691512" w:rsidRPr="00F470E5" w:rsidRDefault="00D4450A" w:rsidP="00874D10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="000607CF" w:rsidRPr="00F470E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Innspill til finansieringsutvalget - regjeringen.no</w:t>
        </w:r>
      </w:hyperlink>
      <w:r w:rsidR="00806BDE" w:rsidRPr="00F470E5">
        <w:rPr>
          <w:rFonts w:asciiTheme="minorHAnsi" w:hAnsiTheme="minorHAnsi" w:cstheme="minorHAnsi"/>
          <w:sz w:val="22"/>
          <w:szCs w:val="22"/>
        </w:rPr>
        <w:tab/>
      </w:r>
      <w:r w:rsidR="00806BDE" w:rsidRPr="00F470E5">
        <w:rPr>
          <w:rFonts w:asciiTheme="minorHAnsi" w:hAnsiTheme="minorHAnsi" w:cstheme="minorHAnsi"/>
          <w:sz w:val="22"/>
          <w:szCs w:val="22"/>
        </w:rPr>
        <w:tab/>
      </w:r>
    </w:p>
    <w:p w14:paraId="1AB7D37F" w14:textId="599501BA" w:rsidR="00691512" w:rsidRPr="00321CF6" w:rsidRDefault="00806BDE" w:rsidP="00691512">
      <w:pPr>
        <w:rPr>
          <w:rFonts w:ascii="Calibri" w:hAnsi="Calibri" w:cs="Calibri"/>
          <w:sz w:val="22"/>
          <w:szCs w:val="22"/>
        </w:rPr>
      </w:pPr>
      <w:r w:rsidRPr="000607CF">
        <w:tab/>
      </w:r>
      <w:r w:rsidRPr="000607CF">
        <w:tab/>
      </w:r>
      <w:r w:rsidRPr="000607CF">
        <w:tab/>
      </w:r>
      <w:r w:rsidRPr="000607CF">
        <w:tab/>
      </w:r>
      <w:r w:rsidRPr="000607CF">
        <w:tab/>
      </w:r>
      <w:r w:rsidRPr="000607CF">
        <w:tab/>
      </w:r>
      <w:r w:rsidRPr="000607CF">
        <w:tab/>
      </w:r>
      <w:r w:rsidRPr="000607CF">
        <w:tab/>
      </w:r>
      <w:r w:rsidRPr="000607CF">
        <w:tab/>
      </w:r>
      <w:r w:rsidR="000C3381" w:rsidRPr="000607CF">
        <w:tab/>
      </w:r>
      <w:r w:rsidR="00742A02" w:rsidRPr="00321CF6">
        <w:rPr>
          <w:rFonts w:ascii="Calibri" w:hAnsi="Calibri" w:cs="Calibri"/>
          <w:sz w:val="22"/>
          <w:szCs w:val="22"/>
        </w:rPr>
        <w:t>Oslo</w:t>
      </w:r>
      <w:r w:rsidR="00B922F1" w:rsidRPr="00321CF6">
        <w:rPr>
          <w:rFonts w:ascii="Calibri" w:hAnsi="Calibri" w:cs="Calibri"/>
          <w:sz w:val="22"/>
          <w:szCs w:val="22"/>
        </w:rPr>
        <w:t xml:space="preserve">, </w:t>
      </w:r>
      <w:r w:rsidR="00923CB1" w:rsidRPr="00321CF6">
        <w:rPr>
          <w:rFonts w:ascii="Calibri" w:hAnsi="Calibri" w:cs="Calibri"/>
          <w:sz w:val="22"/>
          <w:szCs w:val="22"/>
        </w:rPr>
        <w:t>5.11</w:t>
      </w:r>
      <w:r w:rsidR="001A1978" w:rsidRPr="00321CF6">
        <w:rPr>
          <w:rFonts w:ascii="Calibri" w:hAnsi="Calibri" w:cs="Calibri"/>
          <w:sz w:val="22"/>
          <w:szCs w:val="22"/>
        </w:rPr>
        <w:t>.202</w:t>
      </w:r>
      <w:r w:rsidR="000C3381" w:rsidRPr="00321CF6">
        <w:rPr>
          <w:rFonts w:ascii="Calibri" w:hAnsi="Calibri" w:cs="Calibri"/>
          <w:sz w:val="22"/>
          <w:szCs w:val="22"/>
        </w:rPr>
        <w:t>1</w:t>
      </w:r>
    </w:p>
    <w:p w14:paraId="61E17D91" w14:textId="229B0B3B" w:rsidR="001A4F49" w:rsidRPr="00321CF6" w:rsidRDefault="001A4F49" w:rsidP="00691512">
      <w:pPr>
        <w:rPr>
          <w:rFonts w:ascii="Calibri" w:hAnsi="Calibri" w:cs="Calibri"/>
          <w:sz w:val="22"/>
          <w:szCs w:val="22"/>
        </w:rPr>
      </w:pPr>
    </w:p>
    <w:p w14:paraId="56B7DBA7" w14:textId="77777777" w:rsidR="001A4F49" w:rsidRPr="00321CF6" w:rsidRDefault="001A4F49" w:rsidP="00691512">
      <w:pPr>
        <w:rPr>
          <w:rFonts w:ascii="Calibri" w:hAnsi="Calibri" w:cs="Calibri"/>
          <w:sz w:val="22"/>
          <w:szCs w:val="22"/>
        </w:rPr>
      </w:pPr>
    </w:p>
    <w:p w14:paraId="19396D68" w14:textId="77777777" w:rsidR="00806BDE" w:rsidRPr="00321CF6" w:rsidRDefault="00806BDE" w:rsidP="00691512"/>
    <w:p w14:paraId="4B127C03" w14:textId="399E6436" w:rsidR="000F4CC6" w:rsidRPr="00321CF6" w:rsidRDefault="00511B8C" w:rsidP="00501802">
      <w:pPr>
        <w:pStyle w:val="StyleBefore0pt"/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</w:pPr>
      <w:r w:rsidRPr="00321CF6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FFA innspill til </w:t>
      </w:r>
      <w:bookmarkStart w:id="0" w:name="_Hlk79154154"/>
      <w:r w:rsidR="00BA5DF2" w:rsidRPr="00321CF6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Finansieringsutvalget for</w:t>
      </w:r>
      <w:r w:rsidR="00501802" w:rsidRPr="00321CF6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 universitets- og høyskolesektoren </w:t>
      </w:r>
      <w:bookmarkEnd w:id="0"/>
    </w:p>
    <w:p w14:paraId="3917CAD7" w14:textId="1838DA0F" w:rsidR="00014D7F" w:rsidRPr="004C1811" w:rsidRDefault="00B13CD3" w:rsidP="00501802">
      <w:pPr>
        <w:pStyle w:val="StyleBefore0pt"/>
        <w:rPr>
          <w:rFonts w:asciiTheme="minorHAnsi" w:hAnsiTheme="minorHAnsi" w:cstheme="minorHAnsi"/>
          <w:szCs w:val="22"/>
          <w:shd w:val="clear" w:color="auto" w:fill="FFFFFF"/>
        </w:rPr>
      </w:pPr>
      <w:r w:rsidRPr="004C1811">
        <w:rPr>
          <w:rFonts w:asciiTheme="minorHAnsi" w:hAnsiTheme="minorHAnsi" w:cstheme="minorHAnsi"/>
          <w:szCs w:val="22"/>
          <w:shd w:val="clear" w:color="auto" w:fill="FFFFFF"/>
        </w:rPr>
        <w:t xml:space="preserve">Vi viser til </w:t>
      </w:r>
      <w:r w:rsidR="004C1811" w:rsidRPr="004C1811">
        <w:rPr>
          <w:rFonts w:asciiTheme="minorHAnsi" w:hAnsiTheme="minorHAnsi" w:cstheme="minorHAnsi"/>
          <w:szCs w:val="22"/>
          <w:shd w:val="clear" w:color="auto" w:fill="FFFFFF"/>
        </w:rPr>
        <w:t>av 16.oktober</w:t>
      </w:r>
      <w:r w:rsidR="00220BC5" w:rsidRPr="004C1811">
        <w:rPr>
          <w:rFonts w:asciiTheme="minorHAnsi" w:hAnsiTheme="minorHAnsi" w:cstheme="minorHAnsi"/>
          <w:szCs w:val="22"/>
          <w:shd w:val="clear" w:color="auto" w:fill="FFFFFF"/>
        </w:rPr>
        <w:t xml:space="preserve"> 2021</w:t>
      </w:r>
      <w:r w:rsidR="00014D7F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0BC5" w:rsidRPr="004C1811">
        <w:rPr>
          <w:rFonts w:asciiTheme="minorHAnsi" w:hAnsiTheme="minorHAnsi" w:cstheme="minorHAnsi"/>
          <w:szCs w:val="22"/>
          <w:shd w:val="clear" w:color="auto" w:fill="FFFFFF"/>
        </w:rPr>
        <w:t xml:space="preserve">og takker for muligheten til å gi våre </w:t>
      </w:r>
      <w:r w:rsidR="004C1811" w:rsidRPr="004C1811">
        <w:rPr>
          <w:rFonts w:asciiTheme="minorHAnsi" w:hAnsiTheme="minorHAnsi" w:cstheme="minorHAnsi"/>
          <w:szCs w:val="22"/>
          <w:shd w:val="clear" w:color="auto" w:fill="FFFFFF"/>
        </w:rPr>
        <w:t>i</w:t>
      </w:r>
      <w:r w:rsidR="004C1811">
        <w:rPr>
          <w:rFonts w:asciiTheme="minorHAnsi" w:hAnsiTheme="minorHAnsi" w:cstheme="minorHAnsi"/>
          <w:szCs w:val="22"/>
          <w:shd w:val="clear" w:color="auto" w:fill="FFFFFF"/>
        </w:rPr>
        <w:t>nnspill til Finansieringsutvalget for universitets- og høyskolesektoren</w:t>
      </w:r>
      <w:r w:rsidR="00014D7F">
        <w:rPr>
          <w:rFonts w:asciiTheme="minorHAnsi" w:hAnsiTheme="minorHAnsi" w:cstheme="minorHAnsi"/>
          <w:szCs w:val="22"/>
          <w:shd w:val="clear" w:color="auto" w:fill="FFFFFF"/>
        </w:rPr>
        <w:t>.</w:t>
      </w:r>
      <w:r w:rsidR="00F470E5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014D7F">
        <w:rPr>
          <w:rFonts w:asciiTheme="minorHAnsi" w:hAnsiTheme="minorHAnsi" w:cstheme="minorHAnsi"/>
          <w:szCs w:val="22"/>
          <w:shd w:val="clear" w:color="auto" w:fill="FFFFFF"/>
        </w:rPr>
        <w:t>I tillegg til våre muntlige innspill</w:t>
      </w:r>
      <w:r w:rsidR="00F470E5">
        <w:rPr>
          <w:rFonts w:asciiTheme="minorHAnsi" w:hAnsiTheme="minorHAnsi" w:cstheme="minorHAnsi"/>
          <w:szCs w:val="22"/>
          <w:shd w:val="clear" w:color="auto" w:fill="FFFFFF"/>
        </w:rPr>
        <w:t xml:space="preserve"> i møte 2.november 2021, vil vi gjerne utdype i det følgende.</w:t>
      </w:r>
    </w:p>
    <w:p w14:paraId="570A5280" w14:textId="420BEE7A" w:rsidR="00664D32" w:rsidRPr="004C1811" w:rsidRDefault="00664D32" w:rsidP="00664D32"/>
    <w:p w14:paraId="465C41E3" w14:textId="65DFB082" w:rsidR="00511B8C" w:rsidRPr="00321CF6" w:rsidRDefault="00511B8C" w:rsidP="000C3381">
      <w:pPr>
        <w:pStyle w:val="Overskrift2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1" w:name="_Hlk73690522"/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Om forskningsinstituttene</w:t>
      </w:r>
    </w:p>
    <w:bookmarkEnd w:id="1"/>
    <w:p w14:paraId="776AED34" w14:textId="638656D6" w:rsidR="00511B8C" w:rsidRDefault="00511B8C" w:rsidP="00511B8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Forskningsinstituttenes Fellesarena organiserer de 32 selvstendige</w:t>
      </w:r>
      <w:r w:rsidR="005D21E2"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, non-</w:t>
      </w:r>
      <w:proofErr w:type="spellStart"/>
      <w:r w:rsidR="005D21E2"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profit</w:t>
      </w:r>
      <w:proofErr w:type="spellEnd"/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forskningsinstituttene</w:t>
      </w:r>
      <w:r w:rsidR="009758D4"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og -konsernene</w:t>
      </w:r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som fyller kriteriene for grunnfinansiering fra Forskningsrådet, til sammen 6500 årsverk og </w:t>
      </w:r>
      <w:r w:rsidR="005D21E2"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11</w:t>
      </w:r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mrd</w:t>
      </w:r>
      <w:proofErr w:type="spellEnd"/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kr i årlig omsetning, derav 1,</w:t>
      </w:r>
      <w:r w:rsidR="005D21E2"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3</w:t>
      </w:r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>mrd</w:t>
      </w:r>
      <w:proofErr w:type="spellEnd"/>
      <w:r w:rsidRPr="00321C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kr fra utlandet. </w:t>
      </w:r>
      <w:r w:rsidRPr="00D909E3">
        <w:rPr>
          <w:rFonts w:asciiTheme="minorHAnsi" w:hAnsiTheme="minorHAnsi" w:cstheme="minorHAnsi"/>
          <w:sz w:val="22"/>
          <w:szCs w:val="22"/>
          <w:shd w:val="clear" w:color="auto" w:fill="FFFFFF"/>
        </w:rPr>
        <w:t>Norge har i instituttsektor</w:t>
      </w:r>
      <w:r w:rsidR="000A2153" w:rsidRPr="00D909E3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r w:rsidRPr="00D909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et velfungerende apparat for anvendt</w:t>
      </w:r>
      <w:r w:rsidR="00E65A9E" w:rsidRPr="00D909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og</w:t>
      </w:r>
      <w:r w:rsidRPr="00D909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tverrfaglig forskning. </w:t>
      </w:r>
      <w:r w:rsidR="00495C6E" w:rsidRPr="00D55F7D">
        <w:rPr>
          <w:rFonts w:asciiTheme="minorHAnsi" w:hAnsiTheme="minorHAnsi" w:cstheme="minorHAnsi"/>
          <w:sz w:val="22"/>
          <w:szCs w:val="22"/>
          <w:shd w:val="clear" w:color="auto" w:fill="FFFFFF"/>
        </w:rPr>
        <w:t>Instituttenes samfunnsoppdrag er å</w:t>
      </w:r>
      <w:r w:rsidR="00495C6E" w:rsidRPr="00D55F7D">
        <w:t xml:space="preserve"> </w:t>
      </w:r>
      <w:r w:rsidR="00495C6E" w:rsidRPr="00D55F7D">
        <w:rPr>
          <w:rFonts w:asciiTheme="minorHAnsi" w:hAnsiTheme="minorHAnsi" w:cstheme="minorHAnsi"/>
          <w:sz w:val="22"/>
          <w:szCs w:val="22"/>
          <w:shd w:val="clear" w:color="auto" w:fill="FFFFFF"/>
        </w:rPr>
        <w:t>utvikle kunnskapsgrunnlag for politikkutforming og bidra</w:t>
      </w:r>
      <w:r w:rsidR="00EE229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95C6E" w:rsidRPr="00D55F7D">
        <w:rPr>
          <w:rFonts w:asciiTheme="minorHAnsi" w:hAnsiTheme="minorHAnsi" w:cstheme="minorHAnsi"/>
          <w:sz w:val="22"/>
          <w:szCs w:val="22"/>
          <w:shd w:val="clear" w:color="auto" w:fill="FFFFFF"/>
        </w:rPr>
        <w:t>til bærekraftig utvikling og omstilling, gjennom forskning av høy kvalitet og relevans.</w:t>
      </w:r>
      <w:r w:rsidRPr="00D55F7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Forskningsinstituttene </w:t>
      </w:r>
      <w:r w:rsidR="0039774B">
        <w:rPr>
          <w:rFonts w:asciiTheme="minorHAnsi" w:hAnsiTheme="minorHAnsi" w:cstheme="minorHAnsi"/>
          <w:sz w:val="22"/>
          <w:szCs w:val="22"/>
          <w:shd w:val="clear" w:color="auto" w:fill="FFFFFF"/>
        </w:rPr>
        <w:t>samarbeider med universiteter og høyskoler, andre forskningsinstitutter, næringsliv og offentlige virksomheter i hele landet, samt internasjonalt.</w:t>
      </w:r>
    </w:p>
    <w:p w14:paraId="1039D5B3" w14:textId="15C7EE53" w:rsidR="00A738CF" w:rsidRDefault="00A738CF" w:rsidP="00511B8C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9B5F04D" w14:textId="1167E485" w:rsidR="006401DF" w:rsidRPr="00D4450A" w:rsidRDefault="006F7EA7" w:rsidP="001A7989">
      <w:pPr>
        <w:pStyle w:val="Overskrift2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bookmarkStart w:id="2" w:name="_Hlk79155497"/>
      <w:r w:rsidRPr="00D4450A">
        <w:rPr>
          <w:rFonts w:asciiTheme="minorHAnsi" w:hAnsiTheme="minorHAnsi" w:cstheme="minorHAnsi"/>
          <w:sz w:val="22"/>
          <w:szCs w:val="22"/>
          <w:shd w:val="clear" w:color="auto" w:fill="FFFFFF"/>
        </w:rPr>
        <w:t>Finansieringsutvalgets arbeid har relevans for forskningsinstituttene</w:t>
      </w:r>
    </w:p>
    <w:bookmarkEnd w:id="2"/>
    <w:p w14:paraId="37AEF14E" w14:textId="77777777" w:rsidR="000D1713" w:rsidRDefault="00D31C4C" w:rsidP="009D7E7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Finansieringsutvalgets arbeid vil ha </w:t>
      </w:r>
      <w:r w:rsidR="00782446">
        <w:rPr>
          <w:rFonts w:asciiTheme="minorHAnsi" w:hAnsiTheme="minorHAnsi" w:cstheme="minorHAnsi"/>
          <w:color w:val="000000"/>
          <w:sz w:val="22"/>
          <w:szCs w:val="22"/>
        </w:rPr>
        <w:t>relevans for</w:t>
      </w:r>
      <w:r w:rsidR="00D76724">
        <w:rPr>
          <w:rFonts w:asciiTheme="minorHAnsi" w:hAnsiTheme="minorHAnsi" w:cstheme="minorHAnsi"/>
          <w:color w:val="000000"/>
          <w:sz w:val="22"/>
          <w:szCs w:val="22"/>
        </w:rPr>
        <w:t xml:space="preserve"> tilgrensende sektorer som instituttsektoren</w:t>
      </w:r>
      <w:r w:rsidR="00386A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86AF0" w:rsidRPr="00386AF0">
        <w:t xml:space="preserve"> </w:t>
      </w:r>
      <w:r w:rsidR="00386AF0" w:rsidRPr="00386AF0">
        <w:rPr>
          <w:rFonts w:asciiTheme="minorHAnsi" w:hAnsiTheme="minorHAnsi" w:cstheme="minorHAnsi"/>
          <w:color w:val="000000"/>
          <w:sz w:val="22"/>
          <w:szCs w:val="22"/>
        </w:rPr>
        <w:t>helseforetak</w:t>
      </w:r>
      <w:r w:rsidR="004D0583">
        <w:rPr>
          <w:rFonts w:asciiTheme="minorHAnsi" w:hAnsiTheme="minorHAnsi" w:cstheme="minorHAnsi"/>
          <w:color w:val="000000"/>
          <w:sz w:val="22"/>
          <w:szCs w:val="22"/>
        </w:rPr>
        <w:t xml:space="preserve"> og næringsliv</w:t>
      </w:r>
      <w:r w:rsidR="00386AF0" w:rsidRPr="00386AF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767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533EC">
        <w:rPr>
          <w:rFonts w:asciiTheme="minorHAnsi" w:hAnsiTheme="minorHAnsi" w:cstheme="minorHAnsi"/>
          <w:color w:val="000000"/>
          <w:sz w:val="22"/>
          <w:szCs w:val="22"/>
        </w:rPr>
        <w:t xml:space="preserve">Vi minner om prinsippet som er nedfelt i regjeringens </w:t>
      </w:r>
      <w:hyperlink r:id="rId9" w:history="1">
        <w:r w:rsidR="001533EC" w:rsidRPr="008D7A74">
          <w:rPr>
            <w:rStyle w:val="Hyperkobling"/>
            <w:rFonts w:asciiTheme="minorHAnsi" w:hAnsiTheme="minorHAnsi" w:cstheme="minorHAnsi"/>
            <w:i/>
            <w:iCs/>
            <w:sz w:val="22"/>
            <w:szCs w:val="22"/>
          </w:rPr>
          <w:t>Strategi for en helhetlig instituttpolitikk</w:t>
        </w:r>
      </w:hyperlink>
      <w:r w:rsidR="001533EC">
        <w:rPr>
          <w:rFonts w:asciiTheme="minorHAnsi" w:hAnsiTheme="minorHAnsi" w:cstheme="minorHAnsi"/>
          <w:color w:val="000000"/>
          <w:sz w:val="22"/>
          <w:szCs w:val="22"/>
        </w:rPr>
        <w:t xml:space="preserve">, som </w:t>
      </w:r>
      <w:r w:rsidR="008D7A74">
        <w:rPr>
          <w:rFonts w:asciiTheme="minorHAnsi" w:hAnsiTheme="minorHAnsi" w:cstheme="minorHAnsi"/>
          <w:color w:val="000000"/>
          <w:sz w:val="22"/>
          <w:szCs w:val="22"/>
        </w:rPr>
        <w:t xml:space="preserve">bl.a. </w:t>
      </w:r>
      <w:r w:rsidR="00282FFF">
        <w:rPr>
          <w:rFonts w:asciiTheme="minorHAnsi" w:hAnsiTheme="minorHAnsi" w:cstheme="minorHAnsi"/>
          <w:color w:val="000000"/>
          <w:sz w:val="22"/>
          <w:szCs w:val="22"/>
        </w:rPr>
        <w:t>sier at</w:t>
      </w:r>
      <w:r w:rsidR="009D7E76" w:rsidRPr="009D7E7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4EC4AF" w14:textId="53571302" w:rsidR="000D1713" w:rsidRDefault="000D1713" w:rsidP="009D7E7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(…) </w:t>
      </w:r>
      <w:r w:rsidR="009D7E76" w:rsidRPr="009D7E76">
        <w:rPr>
          <w:rFonts w:asciiTheme="minorHAnsi" w:hAnsiTheme="minorHAnsi" w:cstheme="minorHAnsi"/>
          <w:i/>
          <w:iCs/>
          <w:color w:val="000000"/>
          <w:sz w:val="22"/>
          <w:szCs w:val="22"/>
        </w:rPr>
        <w:t>i ytterste konsekvens kan sektorspesifikk</w:t>
      </w:r>
      <w:r w:rsidR="009D7E7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9D7E76" w:rsidRPr="009D7E76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politikkutvikling skape utilsiktede hindre for å</w:t>
      </w:r>
      <w:r w:rsidR="009D7E7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9D7E76" w:rsidRPr="009D7E76">
        <w:rPr>
          <w:rFonts w:asciiTheme="minorHAnsi" w:hAnsiTheme="minorHAnsi" w:cstheme="minorHAnsi"/>
          <w:i/>
          <w:iCs/>
          <w:color w:val="000000"/>
          <w:sz w:val="22"/>
          <w:szCs w:val="22"/>
        </w:rPr>
        <w:t>få det beste ut av sektorene samlet sett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327C9F" w14:textId="4D6C1AD9" w:rsidR="009D7E76" w:rsidRPr="009D7E76" w:rsidRDefault="000D1713" w:rsidP="009D7E76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og at </w:t>
      </w:r>
    </w:p>
    <w:p w14:paraId="120B1C3C" w14:textId="59BB1C5D" w:rsidR="00782446" w:rsidRPr="00FD143D" w:rsidRDefault="001533EC" w:rsidP="00FD143D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color w:val="000000"/>
        </w:rPr>
      </w:pPr>
      <w:r w:rsidRPr="00FD143D">
        <w:rPr>
          <w:rFonts w:asciiTheme="minorHAnsi" w:hAnsiTheme="minorHAnsi" w:cstheme="minorHAnsi"/>
          <w:i/>
          <w:iCs/>
          <w:color w:val="000000"/>
        </w:rPr>
        <w:t>politikkutvikling for én av de</w:t>
      </w:r>
      <w:r w:rsidR="00282FFF" w:rsidRPr="00FD143D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FD143D">
        <w:rPr>
          <w:rFonts w:asciiTheme="minorHAnsi" w:hAnsiTheme="minorHAnsi" w:cstheme="minorHAnsi"/>
          <w:i/>
          <w:iCs/>
          <w:color w:val="000000"/>
        </w:rPr>
        <w:t>forskningsutførende sektorene alltid må ses</w:t>
      </w:r>
      <w:r w:rsidR="00282FFF" w:rsidRPr="00FD143D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FD143D">
        <w:rPr>
          <w:rFonts w:asciiTheme="minorHAnsi" w:hAnsiTheme="minorHAnsi" w:cstheme="minorHAnsi"/>
          <w:i/>
          <w:iCs/>
          <w:color w:val="000000"/>
        </w:rPr>
        <w:t>i sammenheng med politikken for de øvrige</w:t>
      </w:r>
      <w:r w:rsidR="00282FFF" w:rsidRPr="00FD143D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FD143D">
        <w:rPr>
          <w:rFonts w:asciiTheme="minorHAnsi" w:hAnsiTheme="minorHAnsi" w:cstheme="minorHAnsi"/>
          <w:i/>
          <w:iCs/>
          <w:color w:val="000000"/>
        </w:rPr>
        <w:t>forskningsutførende sektorene</w:t>
      </w:r>
      <w:r w:rsidRPr="00FD143D">
        <w:rPr>
          <w:rFonts w:asciiTheme="minorHAnsi" w:hAnsiTheme="minorHAnsi" w:cstheme="minorHAnsi"/>
          <w:color w:val="000000"/>
        </w:rPr>
        <w:t>.</w:t>
      </w:r>
      <w:r w:rsidR="00282FFF" w:rsidRPr="00FD143D">
        <w:rPr>
          <w:rFonts w:asciiTheme="minorHAnsi" w:hAnsiTheme="minorHAnsi" w:cstheme="minorHAnsi"/>
          <w:color w:val="000000"/>
        </w:rPr>
        <w:t xml:space="preserve"> </w:t>
      </w:r>
    </w:p>
    <w:p w14:paraId="6D80EE24" w14:textId="77777777" w:rsidR="00782446" w:rsidRDefault="00782446" w:rsidP="001533E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26557A" w14:textId="77777777" w:rsidR="00004EA5" w:rsidRDefault="0014277E" w:rsidP="001533E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Dette prinsippet må </w:t>
      </w:r>
      <w:r w:rsidR="00FD143D">
        <w:rPr>
          <w:rFonts w:asciiTheme="minorHAnsi" w:hAnsiTheme="minorHAnsi" w:cstheme="minorHAnsi"/>
          <w:color w:val="000000"/>
          <w:sz w:val="22"/>
          <w:szCs w:val="22"/>
        </w:rPr>
        <w:t>ikke minst gjelde</w:t>
      </w:r>
      <w:r w:rsidR="004C5D19">
        <w:rPr>
          <w:rFonts w:asciiTheme="minorHAnsi" w:hAnsiTheme="minorHAnsi" w:cstheme="minorHAnsi"/>
          <w:color w:val="000000"/>
          <w:sz w:val="22"/>
          <w:szCs w:val="22"/>
        </w:rPr>
        <w:t xml:space="preserve"> ved gjennomgang av finansieringssystemet</w:t>
      </w:r>
      <w:r w:rsidR="00912C44">
        <w:rPr>
          <w:rFonts w:asciiTheme="minorHAnsi" w:hAnsiTheme="minorHAnsi" w:cstheme="minorHAnsi"/>
          <w:color w:val="000000"/>
          <w:sz w:val="22"/>
          <w:szCs w:val="22"/>
        </w:rPr>
        <w:t xml:space="preserve">. Endringer for i finansieringssystemet for universiteter og høyskoler vil </w:t>
      </w:r>
      <w:r w:rsidR="00CD04C9">
        <w:rPr>
          <w:rFonts w:asciiTheme="minorHAnsi" w:hAnsiTheme="minorHAnsi" w:cstheme="minorHAnsi"/>
          <w:color w:val="000000"/>
          <w:sz w:val="22"/>
          <w:szCs w:val="22"/>
        </w:rPr>
        <w:t xml:space="preserve">kunne påvirke samarbeids- og konkurranseforhold </w:t>
      </w:r>
      <w:r w:rsidR="00CD0AE1">
        <w:rPr>
          <w:rFonts w:asciiTheme="minorHAnsi" w:hAnsiTheme="minorHAnsi" w:cstheme="minorHAnsi"/>
          <w:color w:val="000000"/>
          <w:sz w:val="22"/>
          <w:szCs w:val="22"/>
        </w:rPr>
        <w:t>og dermed balansen mellom sektorene</w:t>
      </w:r>
      <w:r w:rsidR="000E06FD">
        <w:rPr>
          <w:rFonts w:asciiTheme="minorHAnsi" w:hAnsiTheme="minorHAnsi" w:cstheme="minorHAnsi"/>
          <w:color w:val="000000"/>
          <w:sz w:val="22"/>
          <w:szCs w:val="22"/>
        </w:rPr>
        <w:t>, som alle har ulike samfunnsoppdrag og ulike finansiering</w:t>
      </w:r>
      <w:r w:rsidR="008A3F5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0E06FD">
        <w:rPr>
          <w:rFonts w:asciiTheme="minorHAnsi" w:hAnsiTheme="minorHAnsi" w:cstheme="minorHAnsi"/>
          <w:color w:val="000000"/>
          <w:sz w:val="22"/>
          <w:szCs w:val="22"/>
        </w:rPr>
        <w:t>systemer</w:t>
      </w:r>
      <w:r w:rsidR="008A3F5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5EE6">
        <w:rPr>
          <w:rFonts w:asciiTheme="minorHAnsi" w:hAnsiTheme="minorHAnsi" w:cstheme="minorHAnsi"/>
          <w:color w:val="000000"/>
          <w:sz w:val="22"/>
          <w:szCs w:val="22"/>
        </w:rPr>
        <w:t>og opererer i et finstemt samspill</w:t>
      </w:r>
      <w:r w:rsidR="00CD0AE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65EE6">
        <w:rPr>
          <w:rFonts w:asciiTheme="minorHAnsi" w:hAnsiTheme="minorHAnsi" w:cstheme="minorHAnsi"/>
          <w:color w:val="000000"/>
          <w:sz w:val="22"/>
          <w:szCs w:val="22"/>
        </w:rPr>
        <w:t xml:space="preserve">Som kjent </w:t>
      </w:r>
      <w:r w:rsidR="00A42E11">
        <w:rPr>
          <w:rFonts w:asciiTheme="minorHAnsi" w:hAnsiTheme="minorHAnsi" w:cstheme="minorHAnsi"/>
          <w:color w:val="000000"/>
          <w:sz w:val="22"/>
          <w:szCs w:val="22"/>
        </w:rPr>
        <w:t>er</w:t>
      </w:r>
      <w:r w:rsidR="00065EE6">
        <w:rPr>
          <w:rFonts w:asciiTheme="minorHAnsi" w:hAnsiTheme="minorHAnsi" w:cstheme="minorHAnsi"/>
          <w:color w:val="000000"/>
          <w:sz w:val="22"/>
          <w:szCs w:val="22"/>
        </w:rPr>
        <w:t xml:space="preserve"> norsk universitets- og høyskolesektor i dag</w:t>
      </w:r>
      <w:r w:rsidR="00A42E11">
        <w:rPr>
          <w:rFonts w:asciiTheme="minorHAnsi" w:hAnsiTheme="minorHAnsi" w:cstheme="minorHAnsi"/>
          <w:color w:val="000000"/>
          <w:sz w:val="22"/>
          <w:szCs w:val="22"/>
        </w:rPr>
        <w:t xml:space="preserve"> blant de som har høyest grunnfinansiering i Europa, mens norsk instituttsektor </w:t>
      </w:r>
      <w:r w:rsidR="00004EA5">
        <w:rPr>
          <w:rFonts w:asciiTheme="minorHAnsi" w:hAnsiTheme="minorHAnsi" w:cstheme="minorHAnsi"/>
          <w:color w:val="000000"/>
          <w:sz w:val="22"/>
          <w:szCs w:val="22"/>
        </w:rPr>
        <w:t>har lavest grunnfinansiering i Europa.</w:t>
      </w:r>
      <w:r w:rsidR="00065E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06CE95B" w14:textId="77777777" w:rsidR="00004EA5" w:rsidRDefault="00004EA5" w:rsidP="001533E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EB5A9C9" w14:textId="7745B0E8" w:rsidR="00912C44" w:rsidRDefault="00F9307A" w:rsidP="001533E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Konsekvenser </w:t>
      </w:r>
      <w:r w:rsidR="00065EE6">
        <w:rPr>
          <w:rFonts w:asciiTheme="minorHAnsi" w:hAnsiTheme="minorHAnsi" w:cstheme="minorHAnsi"/>
          <w:color w:val="000000"/>
          <w:sz w:val="22"/>
          <w:szCs w:val="22"/>
        </w:rPr>
        <w:t xml:space="preserve">av finansieringsutvalgets forslag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må derfor </w:t>
      </w:r>
      <w:r w:rsidR="00CD0AE1">
        <w:rPr>
          <w:rFonts w:asciiTheme="minorHAnsi" w:hAnsiTheme="minorHAnsi" w:cstheme="minorHAnsi"/>
          <w:color w:val="000000"/>
          <w:sz w:val="22"/>
          <w:szCs w:val="22"/>
        </w:rPr>
        <w:t>vurderes for å sikre at endringer i finansierings</w:t>
      </w:r>
      <w:r w:rsidR="001D3BD3">
        <w:rPr>
          <w:rFonts w:asciiTheme="minorHAnsi" w:hAnsiTheme="minorHAnsi" w:cstheme="minorHAnsi"/>
          <w:color w:val="000000"/>
          <w:sz w:val="22"/>
          <w:szCs w:val="22"/>
        </w:rPr>
        <w:t>systemet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 universiteter og høyskoler</w:t>
      </w:r>
      <w:r w:rsidR="001D3BD3">
        <w:rPr>
          <w:rFonts w:asciiTheme="minorHAnsi" w:hAnsiTheme="minorHAnsi" w:cstheme="minorHAnsi"/>
          <w:color w:val="000000"/>
          <w:sz w:val="22"/>
          <w:szCs w:val="22"/>
        </w:rPr>
        <w:t xml:space="preserve"> ikke gir utilsiktede effekter </w:t>
      </w:r>
      <w:r>
        <w:rPr>
          <w:rFonts w:asciiTheme="minorHAnsi" w:hAnsiTheme="minorHAnsi" w:cstheme="minorHAnsi"/>
          <w:color w:val="000000"/>
          <w:sz w:val="22"/>
          <w:szCs w:val="22"/>
        </w:rPr>
        <w:t>i de andre sektorene</w:t>
      </w:r>
      <w:r w:rsidR="00A94B58">
        <w:rPr>
          <w:rFonts w:asciiTheme="minorHAnsi" w:hAnsiTheme="minorHAnsi" w:cstheme="minorHAnsi"/>
          <w:color w:val="000000"/>
          <w:sz w:val="22"/>
          <w:szCs w:val="22"/>
        </w:rPr>
        <w:t xml:space="preserve"> og </w:t>
      </w:r>
      <w:r w:rsidR="00EE7D9D">
        <w:rPr>
          <w:rFonts w:asciiTheme="minorHAnsi" w:hAnsiTheme="minorHAnsi" w:cstheme="minorHAnsi"/>
          <w:color w:val="000000"/>
          <w:sz w:val="22"/>
          <w:szCs w:val="22"/>
        </w:rPr>
        <w:t>svekke det samlede forskningssystemets effektivitet i å oppfylle samfunnsoppdragene</w:t>
      </w:r>
      <w:r w:rsidR="000E06F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36BEF">
        <w:rPr>
          <w:rFonts w:asciiTheme="minorHAnsi" w:hAnsiTheme="minorHAnsi" w:cstheme="minorHAnsi"/>
          <w:color w:val="000000"/>
          <w:sz w:val="22"/>
          <w:szCs w:val="22"/>
        </w:rPr>
        <w:t xml:space="preserve"> Ikke minst er det avgjørende for instituttene at utdanningsinstitusjonene</w:t>
      </w:r>
      <w:r w:rsidR="00AE0633">
        <w:rPr>
          <w:rFonts w:asciiTheme="minorHAnsi" w:hAnsiTheme="minorHAnsi" w:cstheme="minorHAnsi"/>
          <w:color w:val="000000"/>
          <w:sz w:val="22"/>
          <w:szCs w:val="22"/>
        </w:rPr>
        <w:t xml:space="preserve"> holder høy kvalitet og god relevans </w:t>
      </w:r>
      <w:r w:rsidR="008A4ED1">
        <w:rPr>
          <w:rFonts w:asciiTheme="minorHAnsi" w:hAnsiTheme="minorHAnsi" w:cstheme="minorHAnsi"/>
          <w:color w:val="000000"/>
          <w:sz w:val="22"/>
          <w:szCs w:val="22"/>
        </w:rPr>
        <w:t xml:space="preserve">i utdanningen slik at </w:t>
      </w:r>
      <w:r w:rsidR="00915BBB">
        <w:rPr>
          <w:rFonts w:asciiTheme="minorHAnsi" w:hAnsiTheme="minorHAnsi" w:cstheme="minorHAnsi"/>
          <w:color w:val="000000"/>
          <w:sz w:val="22"/>
          <w:szCs w:val="22"/>
        </w:rPr>
        <w:t xml:space="preserve">instituttsektoren og alle deler av arbeidslivet kan rekruttere høyt kvalifiserte </w:t>
      </w:r>
      <w:r w:rsidR="00936BEF">
        <w:rPr>
          <w:rFonts w:asciiTheme="minorHAnsi" w:hAnsiTheme="minorHAnsi" w:cstheme="minorHAnsi"/>
          <w:color w:val="000000"/>
          <w:sz w:val="22"/>
          <w:szCs w:val="22"/>
        </w:rPr>
        <w:t>kandidater</w:t>
      </w:r>
      <w:r w:rsidR="00915BB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E4EC74" w14:textId="6E500BC2" w:rsidR="001204B5" w:rsidRDefault="001204B5" w:rsidP="00EC3AD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BCA2BC4" w14:textId="5CD4F302" w:rsidR="00004EA5" w:rsidRDefault="00004EA5" w:rsidP="00EC3AD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 det følgende </w:t>
      </w:r>
      <w:r w:rsidR="00F440A3">
        <w:rPr>
          <w:rFonts w:asciiTheme="minorHAnsi" w:hAnsiTheme="minorHAnsi" w:cstheme="minorHAnsi"/>
          <w:color w:val="000000"/>
          <w:sz w:val="22"/>
          <w:szCs w:val="22"/>
        </w:rPr>
        <w:t>gir vi innspill til de konkrete spørsmålene som finansieringsutvalget inviterer til.</w:t>
      </w:r>
    </w:p>
    <w:p w14:paraId="05ECDCD0" w14:textId="77777777" w:rsidR="00004EA5" w:rsidRDefault="00004EA5" w:rsidP="00EC3AD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1E9BC2" w14:textId="77777777" w:rsidR="001970B5" w:rsidRDefault="001970B5" w:rsidP="00F9630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B76D8CD" w14:textId="15BD1848" w:rsidR="001970B5" w:rsidRPr="005E332A" w:rsidRDefault="001970B5" w:rsidP="005E332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70C0"/>
        </w:rPr>
      </w:pPr>
      <w:r w:rsidRPr="005E332A">
        <w:rPr>
          <w:rFonts w:asciiTheme="minorHAnsi" w:hAnsiTheme="minorHAnsi" w:cstheme="minorHAnsi"/>
          <w:color w:val="0070C0"/>
        </w:rPr>
        <w:lastRenderedPageBreak/>
        <w:t>Hvilke elementer i finansieringen av universiteter og høyskoler bidrar i størst grad til å nå de overordnede sektormålene?</w:t>
      </w:r>
    </w:p>
    <w:p w14:paraId="59680956" w14:textId="3AE05DF0" w:rsidR="001970B5" w:rsidRPr="001970B5" w:rsidRDefault="009259BB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FFA</w:t>
      </w:r>
      <w:r w:rsidR="003D63D9">
        <w:rPr>
          <w:rFonts w:asciiTheme="minorHAnsi" w:hAnsiTheme="minorHAnsi" w:cstheme="minorHAnsi"/>
          <w:color w:val="000000"/>
          <w:sz w:val="22"/>
          <w:szCs w:val="22"/>
        </w:rPr>
        <w:t xml:space="preserve"> har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2DB3">
        <w:rPr>
          <w:rFonts w:asciiTheme="minorHAnsi" w:hAnsiTheme="minorHAnsi" w:cstheme="minorHAnsi"/>
          <w:color w:val="000000"/>
          <w:sz w:val="22"/>
          <w:szCs w:val="22"/>
        </w:rPr>
        <w:t>ikke tilstrekkelig innsikt i til å gjøre</w:t>
      </w:r>
      <w:r w:rsidR="003D63D9">
        <w:rPr>
          <w:rFonts w:asciiTheme="minorHAnsi" w:hAnsiTheme="minorHAnsi" w:cstheme="minorHAnsi"/>
          <w:color w:val="000000"/>
          <w:sz w:val="22"/>
          <w:szCs w:val="22"/>
        </w:rPr>
        <w:t xml:space="preserve"> en kvalifisert vurdering.</w:t>
      </w:r>
    </w:p>
    <w:p w14:paraId="073B126B" w14:textId="77777777" w:rsidR="001970B5" w:rsidRPr="001970B5" w:rsidRDefault="001970B5" w:rsidP="001970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03E551D" w14:textId="2726DF69" w:rsidR="001970B5" w:rsidRPr="005E332A" w:rsidRDefault="001970B5" w:rsidP="005E332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70C0"/>
        </w:rPr>
      </w:pPr>
      <w:r w:rsidRPr="005E332A">
        <w:rPr>
          <w:rFonts w:asciiTheme="minorHAnsi" w:hAnsiTheme="minorHAnsi" w:cstheme="minorHAnsi"/>
          <w:color w:val="0070C0"/>
        </w:rPr>
        <w:t>Hvilke elementer i finansieringen fungerer mindre bra eller dårlig?</w:t>
      </w:r>
    </w:p>
    <w:p w14:paraId="25BDFF74" w14:textId="1930A697" w:rsidR="00D5069E" w:rsidRDefault="003D63D9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FFA mener at </w:t>
      </w:r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BOA-indikatoren </w:t>
      </w:r>
      <w:proofErr w:type="spellStart"/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pkt</w:t>
      </w:r>
      <w:proofErr w:type="spellEnd"/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6 og 7</w:t>
      </w:r>
      <w:r w:rsidR="005B28B5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timulerer konvergens</w:t>
      </w:r>
      <w:r w:rsidR="005B28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5069E">
        <w:rPr>
          <w:rFonts w:asciiTheme="minorHAnsi" w:hAnsiTheme="minorHAnsi" w:cstheme="minorHAnsi"/>
          <w:color w:val="000000"/>
          <w:sz w:val="22"/>
          <w:szCs w:val="22"/>
        </w:rPr>
        <w:t>og svekker</w:t>
      </w:r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arbeidsdeling innad i sektoren og mellom forskningsutførende sektorer. </w:t>
      </w:r>
      <w:r w:rsidR="008805DA">
        <w:rPr>
          <w:rFonts w:asciiTheme="minorHAnsi" w:hAnsiTheme="minorHAnsi" w:cstheme="minorHAnsi"/>
          <w:color w:val="000000"/>
          <w:sz w:val="22"/>
          <w:szCs w:val="22"/>
        </w:rPr>
        <w:t>Det</w:t>
      </w:r>
      <w:r w:rsidR="008F666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8F666E">
        <w:rPr>
          <w:rFonts w:asciiTheme="minorHAnsi" w:hAnsiTheme="minorHAnsi" w:cstheme="minorHAnsi"/>
          <w:color w:val="000000"/>
          <w:sz w:val="22"/>
          <w:szCs w:val="22"/>
        </w:rPr>
        <w:t>utydeliggjør</w:t>
      </w:r>
      <w:proofErr w:type="spellEnd"/>
      <w:r w:rsidR="008F666E">
        <w:rPr>
          <w:rFonts w:asciiTheme="minorHAnsi" w:hAnsiTheme="minorHAnsi" w:cstheme="minorHAnsi"/>
          <w:color w:val="000000"/>
          <w:sz w:val="22"/>
          <w:szCs w:val="22"/>
        </w:rPr>
        <w:t xml:space="preserve"> samfunnsoppdraget og fører til</w:t>
      </w:r>
      <w:r w:rsidR="008805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C77F7">
        <w:rPr>
          <w:rFonts w:asciiTheme="minorHAnsi" w:hAnsiTheme="minorHAnsi" w:cstheme="minorHAnsi"/>
          <w:color w:val="000000"/>
          <w:sz w:val="22"/>
          <w:szCs w:val="22"/>
        </w:rPr>
        <w:t>en utvikling der "alle gjør alt"</w:t>
      </w:r>
      <w:r w:rsidR="006657E6">
        <w:rPr>
          <w:rFonts w:asciiTheme="minorHAnsi" w:hAnsiTheme="minorHAnsi" w:cstheme="minorHAnsi"/>
          <w:color w:val="000000"/>
          <w:sz w:val="22"/>
          <w:szCs w:val="22"/>
        </w:rPr>
        <w:t xml:space="preserve"> og mindre samarbeid</w:t>
      </w:r>
      <w:r w:rsidR="001C77F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F666E">
        <w:rPr>
          <w:rFonts w:asciiTheme="minorHAnsi" w:hAnsiTheme="minorHAnsi" w:cstheme="minorHAnsi"/>
          <w:color w:val="000000"/>
          <w:sz w:val="22"/>
          <w:szCs w:val="22"/>
        </w:rPr>
        <w:t>som vi mener gir e</w:t>
      </w:r>
      <w:r w:rsidR="0025333E">
        <w:rPr>
          <w:rFonts w:asciiTheme="minorHAnsi" w:hAnsiTheme="minorHAnsi" w:cstheme="minorHAnsi"/>
          <w:color w:val="000000"/>
          <w:sz w:val="22"/>
          <w:szCs w:val="22"/>
        </w:rPr>
        <w:t>t samlet mindre effektiv</w:t>
      </w:r>
      <w:r w:rsidR="006657E6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5333E">
        <w:rPr>
          <w:rFonts w:asciiTheme="minorHAnsi" w:hAnsiTheme="minorHAnsi" w:cstheme="minorHAnsi"/>
          <w:color w:val="000000"/>
          <w:sz w:val="22"/>
          <w:szCs w:val="22"/>
        </w:rPr>
        <w:t xml:space="preserve"> forskningssystem.</w:t>
      </w:r>
    </w:p>
    <w:p w14:paraId="4B305B70" w14:textId="77777777" w:rsidR="006657E6" w:rsidRDefault="006657E6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53DC86" w14:textId="264549E3" w:rsidR="001970B5" w:rsidRPr="001970B5" w:rsidRDefault="001970B5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Når UH-sektor tar eksterne oppdrag, er det viktig at man krever faktiske kostnader i henhold til TDI-modellen. Vi ser jevnlige brudd på dette. </w:t>
      </w:r>
    </w:p>
    <w:p w14:paraId="163FFA38" w14:textId="77777777" w:rsidR="001970B5" w:rsidRPr="001970B5" w:rsidRDefault="001970B5" w:rsidP="001970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F6EE9AC" w14:textId="4F3A4810" w:rsidR="001970B5" w:rsidRPr="005E332A" w:rsidRDefault="001970B5" w:rsidP="005E332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70C0"/>
        </w:rPr>
      </w:pPr>
      <w:r w:rsidRPr="005E332A">
        <w:rPr>
          <w:rFonts w:asciiTheme="minorHAnsi" w:hAnsiTheme="minorHAnsi" w:cstheme="minorHAnsi"/>
          <w:color w:val="0070C0"/>
        </w:rPr>
        <w:t>Bør balansen mellom finansieringskildene endres? I tilfelle ja, i hvilken retning og hvorfor?</w:t>
      </w:r>
    </w:p>
    <w:p w14:paraId="4D072F38" w14:textId="63153EBB" w:rsidR="001970B5" w:rsidRPr="001970B5" w:rsidRDefault="001970B5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UH stimuleres i retning mer eksternfinansiert forskning og mer innovasjonsaktivitet. Samtidig beholdes den solide grunnfinansieringen, høyest i Europa. Det fører til </w:t>
      </w:r>
    </w:p>
    <w:p w14:paraId="27AB58FA" w14:textId="13066B69" w:rsidR="001970B5" w:rsidRPr="001A5DA8" w:rsidRDefault="001970B5" w:rsidP="00E16947">
      <w:pPr>
        <w:pStyle w:val="Listeavsnitt"/>
        <w:numPr>
          <w:ilvl w:val="0"/>
          <w:numId w:val="38"/>
        </w:numPr>
        <w:ind w:left="786" w:hanging="426"/>
        <w:rPr>
          <w:rFonts w:asciiTheme="minorHAnsi" w:hAnsiTheme="minorHAnsi" w:cstheme="minorHAnsi"/>
          <w:color w:val="000000"/>
        </w:rPr>
      </w:pPr>
      <w:r w:rsidRPr="001A5DA8">
        <w:rPr>
          <w:rFonts w:asciiTheme="minorHAnsi" w:hAnsiTheme="minorHAnsi" w:cstheme="minorHAnsi"/>
          <w:color w:val="000000"/>
        </w:rPr>
        <w:t>sterk vekst i UH</w:t>
      </w:r>
    </w:p>
    <w:p w14:paraId="73813C4B" w14:textId="75AE3DA9" w:rsidR="001970B5" w:rsidRPr="001A5DA8" w:rsidRDefault="001970B5" w:rsidP="00E16947">
      <w:pPr>
        <w:pStyle w:val="Listeavsnitt"/>
        <w:numPr>
          <w:ilvl w:val="0"/>
          <w:numId w:val="38"/>
        </w:numPr>
        <w:ind w:left="786" w:hanging="426"/>
        <w:rPr>
          <w:rFonts w:asciiTheme="minorHAnsi" w:hAnsiTheme="minorHAnsi" w:cstheme="minorHAnsi"/>
          <w:color w:val="000000"/>
        </w:rPr>
      </w:pPr>
      <w:r w:rsidRPr="001A5DA8">
        <w:rPr>
          <w:rFonts w:asciiTheme="minorHAnsi" w:hAnsiTheme="minorHAnsi" w:cstheme="minorHAnsi"/>
          <w:color w:val="000000"/>
        </w:rPr>
        <w:t>store overføringer</w:t>
      </w:r>
      <w:r w:rsidR="004E4017">
        <w:rPr>
          <w:rFonts w:asciiTheme="minorHAnsi" w:hAnsiTheme="minorHAnsi" w:cstheme="minorHAnsi"/>
          <w:color w:val="000000"/>
        </w:rPr>
        <w:t xml:space="preserve"> (</w:t>
      </w:r>
      <w:r w:rsidR="00B14162">
        <w:rPr>
          <w:rFonts w:asciiTheme="minorHAnsi" w:hAnsiTheme="minorHAnsi" w:cstheme="minorHAnsi"/>
          <w:color w:val="000000"/>
        </w:rPr>
        <w:t>fra år til år)</w:t>
      </w:r>
      <w:r w:rsidRPr="001A5DA8">
        <w:rPr>
          <w:rFonts w:asciiTheme="minorHAnsi" w:hAnsiTheme="minorHAnsi" w:cstheme="minorHAnsi"/>
          <w:color w:val="000000"/>
        </w:rPr>
        <w:t xml:space="preserve"> i UH, </w:t>
      </w:r>
      <w:r w:rsidR="00B14162">
        <w:rPr>
          <w:rFonts w:asciiTheme="minorHAnsi" w:hAnsiTheme="minorHAnsi" w:cstheme="minorHAnsi"/>
          <w:color w:val="000000"/>
        </w:rPr>
        <w:t xml:space="preserve">som synliggjøres i diskusjonen rundt </w:t>
      </w:r>
      <w:r w:rsidR="00EB7961">
        <w:rPr>
          <w:rFonts w:asciiTheme="minorHAnsi" w:hAnsiTheme="minorHAnsi" w:cstheme="minorHAnsi"/>
          <w:color w:val="000000"/>
        </w:rPr>
        <w:t xml:space="preserve">øvre </w:t>
      </w:r>
      <w:r w:rsidR="00B14162">
        <w:rPr>
          <w:rFonts w:asciiTheme="minorHAnsi" w:hAnsiTheme="minorHAnsi" w:cstheme="minorHAnsi"/>
          <w:color w:val="000000"/>
        </w:rPr>
        <w:t xml:space="preserve">grense for overføringer </w:t>
      </w:r>
      <w:r w:rsidRPr="001A5DA8">
        <w:rPr>
          <w:rFonts w:asciiTheme="minorHAnsi" w:hAnsiTheme="minorHAnsi" w:cstheme="minorHAnsi"/>
          <w:color w:val="000000"/>
        </w:rPr>
        <w:t>på 5%</w:t>
      </w:r>
    </w:p>
    <w:p w14:paraId="3FF30268" w14:textId="1EE7B790" w:rsidR="001970B5" w:rsidRPr="001A5DA8" w:rsidRDefault="001970B5" w:rsidP="00E16947">
      <w:pPr>
        <w:pStyle w:val="Listeavsnitt"/>
        <w:numPr>
          <w:ilvl w:val="0"/>
          <w:numId w:val="38"/>
        </w:numPr>
        <w:ind w:left="786" w:hanging="426"/>
        <w:rPr>
          <w:rFonts w:asciiTheme="minorHAnsi" w:hAnsiTheme="minorHAnsi" w:cstheme="minorHAnsi"/>
          <w:color w:val="000000"/>
        </w:rPr>
      </w:pPr>
      <w:r w:rsidRPr="001A5DA8">
        <w:rPr>
          <w:rFonts w:asciiTheme="minorHAnsi" w:hAnsiTheme="minorHAnsi" w:cstheme="minorHAnsi"/>
          <w:color w:val="000000"/>
        </w:rPr>
        <w:t>samfunnsoppdraget</w:t>
      </w:r>
      <w:r w:rsidR="00EB7961">
        <w:rPr>
          <w:rFonts w:asciiTheme="minorHAnsi" w:hAnsiTheme="minorHAnsi" w:cstheme="minorHAnsi"/>
          <w:color w:val="000000"/>
        </w:rPr>
        <w:t xml:space="preserve"> i UH</w:t>
      </w:r>
      <w:r w:rsidRPr="001A5DA8">
        <w:rPr>
          <w:rFonts w:asciiTheme="minorHAnsi" w:hAnsiTheme="minorHAnsi" w:cstheme="minorHAnsi"/>
          <w:color w:val="000000"/>
        </w:rPr>
        <w:t xml:space="preserve"> utvannes</w:t>
      </w:r>
      <w:r w:rsidR="00E56829">
        <w:rPr>
          <w:rFonts w:asciiTheme="minorHAnsi" w:hAnsiTheme="minorHAnsi" w:cstheme="minorHAnsi"/>
          <w:color w:val="000000"/>
        </w:rPr>
        <w:t xml:space="preserve">, som kan gi </w:t>
      </w:r>
      <w:r w:rsidR="00E02E71">
        <w:rPr>
          <w:rFonts w:asciiTheme="minorHAnsi" w:hAnsiTheme="minorHAnsi" w:cstheme="minorHAnsi"/>
          <w:color w:val="000000"/>
        </w:rPr>
        <w:t xml:space="preserve">som </w:t>
      </w:r>
      <w:r w:rsidR="00E56829">
        <w:rPr>
          <w:rFonts w:asciiTheme="minorHAnsi" w:hAnsiTheme="minorHAnsi" w:cstheme="minorHAnsi"/>
          <w:color w:val="000000"/>
        </w:rPr>
        <w:t>konsekvens</w:t>
      </w:r>
      <w:r w:rsidR="00E02E71">
        <w:rPr>
          <w:rFonts w:asciiTheme="minorHAnsi" w:hAnsiTheme="minorHAnsi" w:cstheme="minorHAnsi"/>
          <w:color w:val="000000"/>
        </w:rPr>
        <w:t xml:space="preserve"> at</w:t>
      </w:r>
      <w:r w:rsidR="00E56829">
        <w:rPr>
          <w:rFonts w:asciiTheme="minorHAnsi" w:hAnsiTheme="minorHAnsi" w:cstheme="minorHAnsi"/>
          <w:color w:val="000000"/>
        </w:rPr>
        <w:t xml:space="preserve"> </w:t>
      </w:r>
      <w:r w:rsidRPr="001A5DA8">
        <w:rPr>
          <w:rFonts w:asciiTheme="minorHAnsi" w:hAnsiTheme="minorHAnsi" w:cstheme="minorHAnsi"/>
          <w:color w:val="000000"/>
        </w:rPr>
        <w:t xml:space="preserve">statusen </w:t>
      </w:r>
      <w:r w:rsidR="00E10839">
        <w:rPr>
          <w:rFonts w:asciiTheme="minorHAnsi" w:hAnsiTheme="minorHAnsi" w:cstheme="minorHAnsi"/>
          <w:color w:val="000000"/>
        </w:rPr>
        <w:t xml:space="preserve">for undervisning svekkes </w:t>
      </w:r>
      <w:r w:rsidRPr="001A5DA8">
        <w:rPr>
          <w:rFonts w:asciiTheme="minorHAnsi" w:hAnsiTheme="minorHAnsi" w:cstheme="minorHAnsi"/>
          <w:color w:val="000000"/>
        </w:rPr>
        <w:t xml:space="preserve">internt </w:t>
      </w:r>
    </w:p>
    <w:p w14:paraId="68B01EAE" w14:textId="059A19F1" w:rsidR="001970B5" w:rsidRPr="001A5DA8" w:rsidRDefault="00E10839" w:rsidP="00E16947">
      <w:pPr>
        <w:pStyle w:val="Listeavsnitt"/>
        <w:numPr>
          <w:ilvl w:val="0"/>
          <w:numId w:val="38"/>
        </w:numPr>
        <w:ind w:left="786" w:hanging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</w:t>
      </w:r>
      <w:r w:rsidR="001970B5" w:rsidRPr="001A5DA8">
        <w:rPr>
          <w:rFonts w:asciiTheme="minorHAnsi" w:hAnsiTheme="minorHAnsi" w:cstheme="minorHAnsi"/>
          <w:color w:val="000000"/>
        </w:rPr>
        <w:t xml:space="preserve">inansieringen bør i sterkere grad stimulere </w:t>
      </w:r>
      <w:r w:rsidR="00B74F43">
        <w:rPr>
          <w:rFonts w:asciiTheme="minorHAnsi" w:hAnsiTheme="minorHAnsi" w:cstheme="minorHAnsi"/>
          <w:color w:val="000000"/>
        </w:rPr>
        <w:t xml:space="preserve">kjerneoppgavene </w:t>
      </w:r>
      <w:r w:rsidR="001970B5" w:rsidRPr="001A5DA8">
        <w:rPr>
          <w:rFonts w:asciiTheme="minorHAnsi" w:hAnsiTheme="minorHAnsi" w:cstheme="minorHAnsi"/>
          <w:color w:val="000000"/>
        </w:rPr>
        <w:t>fremragende undervisning og grunnleggende forskning</w:t>
      </w:r>
    </w:p>
    <w:p w14:paraId="4795DD51" w14:textId="48AC0FCC" w:rsidR="001970B5" w:rsidRPr="001A5DA8" w:rsidRDefault="001970B5" w:rsidP="00E16947">
      <w:pPr>
        <w:pStyle w:val="Listeavsnitt"/>
        <w:numPr>
          <w:ilvl w:val="0"/>
          <w:numId w:val="38"/>
        </w:numPr>
        <w:ind w:left="786" w:hanging="426"/>
        <w:rPr>
          <w:rFonts w:asciiTheme="minorHAnsi" w:hAnsiTheme="minorHAnsi" w:cstheme="minorHAnsi"/>
          <w:color w:val="000000"/>
        </w:rPr>
      </w:pPr>
      <w:r w:rsidRPr="001A5DA8">
        <w:rPr>
          <w:rFonts w:asciiTheme="minorHAnsi" w:hAnsiTheme="minorHAnsi" w:cstheme="minorHAnsi"/>
          <w:color w:val="000000"/>
        </w:rPr>
        <w:t>andre forskningsutførende sektorer – instituttsektoren</w:t>
      </w:r>
      <w:r w:rsidR="00B74F43">
        <w:rPr>
          <w:rFonts w:asciiTheme="minorHAnsi" w:hAnsiTheme="minorHAnsi" w:cstheme="minorHAnsi"/>
          <w:color w:val="000000"/>
        </w:rPr>
        <w:t xml:space="preserve"> (og helseforetakene)</w:t>
      </w:r>
      <w:r w:rsidRPr="001A5DA8">
        <w:rPr>
          <w:rFonts w:asciiTheme="minorHAnsi" w:hAnsiTheme="minorHAnsi" w:cstheme="minorHAnsi"/>
          <w:color w:val="000000"/>
        </w:rPr>
        <w:t xml:space="preserve"> – er skreddersydd for den anvendte forskningen</w:t>
      </w:r>
      <w:r w:rsidR="004171CD">
        <w:rPr>
          <w:rFonts w:asciiTheme="minorHAnsi" w:hAnsiTheme="minorHAnsi" w:cstheme="minorHAnsi"/>
          <w:color w:val="000000"/>
        </w:rPr>
        <w:t xml:space="preserve"> (og klinisk forskning)</w:t>
      </w:r>
      <w:r w:rsidRPr="001A5DA8">
        <w:rPr>
          <w:rFonts w:asciiTheme="minorHAnsi" w:hAnsiTheme="minorHAnsi" w:cstheme="minorHAnsi"/>
          <w:color w:val="000000"/>
        </w:rPr>
        <w:t xml:space="preserve"> og samarbeidsforskning med næringsliv og </w:t>
      </w:r>
      <w:proofErr w:type="spellStart"/>
      <w:r w:rsidRPr="001A5DA8">
        <w:rPr>
          <w:rFonts w:asciiTheme="minorHAnsi" w:hAnsiTheme="minorHAnsi" w:cstheme="minorHAnsi"/>
          <w:color w:val="000000"/>
        </w:rPr>
        <w:t>off</w:t>
      </w:r>
      <w:proofErr w:type="spellEnd"/>
      <w:r w:rsidRPr="001A5DA8">
        <w:rPr>
          <w:rFonts w:asciiTheme="minorHAnsi" w:hAnsiTheme="minorHAnsi" w:cstheme="minorHAnsi"/>
          <w:color w:val="000000"/>
        </w:rPr>
        <w:t xml:space="preserve"> sektor – arbeidsdeling og samarbeid gir bedre kvalitet og mer effektiv ressursutnyttelse </w:t>
      </w:r>
    </w:p>
    <w:p w14:paraId="5B5839AD" w14:textId="77777777" w:rsidR="001970B5" w:rsidRPr="001970B5" w:rsidRDefault="001970B5" w:rsidP="001970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C8A6EA3" w14:textId="18FC7927" w:rsidR="001970B5" w:rsidRPr="005E332A" w:rsidRDefault="001970B5" w:rsidP="005E332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70C0"/>
        </w:rPr>
      </w:pPr>
      <w:r w:rsidRPr="005E332A">
        <w:rPr>
          <w:rFonts w:asciiTheme="minorHAnsi" w:hAnsiTheme="minorHAnsi" w:cstheme="minorHAnsi"/>
          <w:color w:val="0070C0"/>
        </w:rPr>
        <w:t>Dersom man skulle forenkle systemet ved å redusere antall indikatorer i den resultatbaserte ordningen, hvilke vil dere da prioritere å beholde og hvorfor?</w:t>
      </w:r>
    </w:p>
    <w:p w14:paraId="05C318DE" w14:textId="38DE4666" w:rsidR="001970B5" w:rsidRPr="001970B5" w:rsidRDefault="00B01C09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FFA anbefaler at finansieringssystemet konsentreres om høy kvalitet </w:t>
      </w:r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og relevans i undervisning og grunnleggende forskning:</w:t>
      </w:r>
    </w:p>
    <w:p w14:paraId="289DB239" w14:textId="1FDD92F2" w:rsidR="001970B5" w:rsidRPr="0044291F" w:rsidRDefault="001970B5" w:rsidP="00E16947">
      <w:pPr>
        <w:pStyle w:val="Listeavsnitt"/>
        <w:numPr>
          <w:ilvl w:val="0"/>
          <w:numId w:val="42"/>
        </w:numPr>
        <w:ind w:left="720"/>
        <w:rPr>
          <w:rFonts w:asciiTheme="minorHAnsi" w:hAnsiTheme="minorHAnsi" w:cstheme="minorHAnsi"/>
          <w:color w:val="000000"/>
        </w:rPr>
      </w:pPr>
      <w:r w:rsidRPr="0044291F">
        <w:rPr>
          <w:rFonts w:asciiTheme="minorHAnsi" w:hAnsiTheme="minorHAnsi" w:cstheme="minorHAnsi"/>
          <w:color w:val="000000"/>
        </w:rPr>
        <w:t>Behold indikatorene som fremmer høy kvalitet i undervisning: 1-4</w:t>
      </w:r>
    </w:p>
    <w:p w14:paraId="44CB09AD" w14:textId="7F10C789" w:rsidR="001970B5" w:rsidRPr="0044291F" w:rsidRDefault="001970B5" w:rsidP="00E16947">
      <w:pPr>
        <w:pStyle w:val="Listeavsnitt"/>
        <w:numPr>
          <w:ilvl w:val="0"/>
          <w:numId w:val="42"/>
        </w:numPr>
        <w:ind w:left="720"/>
        <w:rPr>
          <w:rFonts w:asciiTheme="minorHAnsi" w:hAnsiTheme="minorHAnsi" w:cstheme="minorHAnsi"/>
          <w:color w:val="000000"/>
        </w:rPr>
      </w:pPr>
      <w:r w:rsidRPr="0044291F">
        <w:rPr>
          <w:rFonts w:asciiTheme="minorHAnsi" w:hAnsiTheme="minorHAnsi" w:cstheme="minorHAnsi"/>
          <w:color w:val="000000"/>
        </w:rPr>
        <w:t>Høy kvalitet i forskning og internasjonalt samarbeid: 5 og 8</w:t>
      </w:r>
    </w:p>
    <w:p w14:paraId="3C3F0AF0" w14:textId="58554ABD" w:rsidR="001970B5" w:rsidRPr="0044291F" w:rsidRDefault="001970B5" w:rsidP="00E16947">
      <w:pPr>
        <w:pStyle w:val="Listeavsnitt"/>
        <w:numPr>
          <w:ilvl w:val="0"/>
          <w:numId w:val="42"/>
        </w:numPr>
        <w:ind w:left="720"/>
        <w:rPr>
          <w:rFonts w:asciiTheme="minorHAnsi" w:hAnsiTheme="minorHAnsi" w:cstheme="minorHAnsi"/>
          <w:color w:val="000000"/>
        </w:rPr>
      </w:pPr>
      <w:r w:rsidRPr="0044291F">
        <w:rPr>
          <w:rFonts w:asciiTheme="minorHAnsi" w:hAnsiTheme="minorHAnsi" w:cstheme="minorHAnsi"/>
          <w:color w:val="000000"/>
        </w:rPr>
        <w:t>Fjern</w:t>
      </w:r>
      <w:r w:rsidR="0095652D" w:rsidRPr="0044291F">
        <w:rPr>
          <w:rFonts w:asciiTheme="minorHAnsi" w:hAnsiTheme="minorHAnsi" w:cstheme="minorHAnsi"/>
          <w:color w:val="000000"/>
        </w:rPr>
        <w:t>:</w:t>
      </w:r>
      <w:r w:rsidRPr="0044291F">
        <w:rPr>
          <w:rFonts w:asciiTheme="minorHAnsi" w:hAnsiTheme="minorHAnsi" w:cstheme="minorHAnsi"/>
          <w:color w:val="000000"/>
        </w:rPr>
        <w:t xml:space="preserve"> 6 og 7</w:t>
      </w:r>
    </w:p>
    <w:p w14:paraId="599371E7" w14:textId="77777777" w:rsidR="001970B5" w:rsidRPr="001970B5" w:rsidRDefault="001970B5" w:rsidP="001970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8858729" w14:textId="78498C95" w:rsidR="001970B5" w:rsidRPr="005E332A" w:rsidRDefault="001970B5" w:rsidP="005E332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70C0"/>
        </w:rPr>
      </w:pPr>
      <w:r w:rsidRPr="005E332A">
        <w:rPr>
          <w:rFonts w:asciiTheme="minorHAnsi" w:hAnsiTheme="minorHAnsi" w:cstheme="minorHAnsi"/>
          <w:color w:val="0070C0"/>
        </w:rPr>
        <w:t xml:space="preserve">Universiteter og høyskoler skal bidra til livslang læring og </w:t>
      </w:r>
      <w:proofErr w:type="spellStart"/>
      <w:r w:rsidRPr="005E332A">
        <w:rPr>
          <w:rFonts w:asciiTheme="minorHAnsi" w:hAnsiTheme="minorHAnsi" w:cstheme="minorHAnsi"/>
          <w:color w:val="0070C0"/>
        </w:rPr>
        <w:t>arbeidsrelevans</w:t>
      </w:r>
      <w:proofErr w:type="spellEnd"/>
      <w:r w:rsidRPr="005E332A">
        <w:rPr>
          <w:rFonts w:asciiTheme="minorHAnsi" w:hAnsiTheme="minorHAnsi" w:cstheme="minorHAnsi"/>
          <w:color w:val="0070C0"/>
        </w:rPr>
        <w:t xml:space="preserve"> i studiene.  Hvordan kan finansieringen eventuelt endres for å bidra bedre til dette?</w:t>
      </w:r>
    </w:p>
    <w:p w14:paraId="059ED404" w14:textId="5FD50154" w:rsidR="001970B5" w:rsidRPr="001970B5" w:rsidRDefault="0094783C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FFA mener at a</w:t>
      </w:r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rbeidslivsrelevans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utdanningene er avgjørende</w:t>
      </w:r>
      <w:r w:rsidR="00B05977">
        <w:rPr>
          <w:rFonts w:asciiTheme="minorHAnsi" w:hAnsiTheme="minorHAnsi" w:cstheme="minorHAnsi"/>
          <w:color w:val="000000"/>
          <w:sz w:val="22"/>
          <w:szCs w:val="22"/>
        </w:rPr>
        <w:t>. Økt bruk av</w:t>
      </w:r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II-</w:t>
      </w:r>
      <w:proofErr w:type="spellStart"/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erstillinger</w:t>
      </w:r>
      <w:proofErr w:type="spellEnd"/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, Nærings-</w:t>
      </w:r>
      <w:proofErr w:type="spellStart"/>
      <w:r w:rsidR="00B05977">
        <w:rPr>
          <w:rFonts w:asciiTheme="minorHAnsi" w:hAnsiTheme="minorHAnsi" w:cstheme="minorHAnsi"/>
          <w:color w:val="000000"/>
          <w:sz w:val="22"/>
          <w:szCs w:val="22"/>
        </w:rPr>
        <w:t>PhD</w:t>
      </w:r>
      <w:proofErr w:type="spellEnd"/>
      <w:r w:rsidR="00B0597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Off-PhD</w:t>
      </w:r>
      <w:proofErr w:type="spellEnd"/>
      <w:r w:rsidR="00B05977">
        <w:rPr>
          <w:rFonts w:asciiTheme="minorHAnsi" w:hAnsiTheme="minorHAnsi" w:cstheme="minorHAnsi"/>
          <w:color w:val="000000"/>
          <w:sz w:val="22"/>
          <w:szCs w:val="22"/>
        </w:rPr>
        <w:t xml:space="preserve"> og samarbeid med forskningsinstituttene om </w:t>
      </w:r>
      <w:proofErr w:type="spellStart"/>
      <w:r w:rsidR="00B05977">
        <w:rPr>
          <w:rFonts w:asciiTheme="minorHAnsi" w:hAnsiTheme="minorHAnsi" w:cstheme="minorHAnsi"/>
          <w:color w:val="000000"/>
          <w:sz w:val="22"/>
          <w:szCs w:val="22"/>
        </w:rPr>
        <w:t>PhD</w:t>
      </w:r>
      <w:proofErr w:type="spellEnd"/>
      <w:r w:rsidR="00B05977">
        <w:rPr>
          <w:rFonts w:asciiTheme="minorHAnsi" w:hAnsiTheme="minorHAnsi" w:cstheme="minorHAnsi"/>
          <w:color w:val="000000"/>
          <w:sz w:val="22"/>
          <w:szCs w:val="22"/>
        </w:rPr>
        <w:t>, for eksempel gjennom</w:t>
      </w:r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>StipInst</w:t>
      </w:r>
      <w:proofErr w:type="spellEnd"/>
      <w:r w:rsidR="001970B5"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C7F15">
        <w:rPr>
          <w:rFonts w:asciiTheme="minorHAnsi" w:hAnsiTheme="minorHAnsi" w:cstheme="minorHAnsi"/>
          <w:color w:val="000000"/>
          <w:sz w:val="22"/>
          <w:szCs w:val="22"/>
        </w:rPr>
        <w:t>vil styrke arbeidslivsrelevansen.</w:t>
      </w:r>
    </w:p>
    <w:p w14:paraId="39383FB2" w14:textId="77777777" w:rsidR="001970B5" w:rsidRPr="001970B5" w:rsidRDefault="001970B5" w:rsidP="001970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DF069E1" w14:textId="6D59E10E" w:rsidR="001970B5" w:rsidRPr="005E332A" w:rsidRDefault="001970B5" w:rsidP="005E332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70C0"/>
        </w:rPr>
      </w:pPr>
      <w:r w:rsidRPr="005E332A">
        <w:rPr>
          <w:rFonts w:asciiTheme="minorHAnsi" w:hAnsiTheme="minorHAnsi" w:cstheme="minorHAnsi"/>
          <w:color w:val="0070C0"/>
        </w:rPr>
        <w:t>Alle statlige universiteter og høyskoler har i dag utviklingsavtaler, som blant annet har som formål å bidra til å ivareta og utvikle institusjonenes samfunnsoppdrag knyttet til ulike regionale og lokale behov. Bør det knyttes finansielle virkemidler til utviklingsavtalene? I tilfelle ja, hvordan bør det konkret gjøres?</w:t>
      </w:r>
    </w:p>
    <w:p w14:paraId="4B1AAAE3" w14:textId="722748F3" w:rsidR="001970B5" w:rsidRPr="001970B5" w:rsidRDefault="00FC7F15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FFA har ikke tilstrekkelig innsikt i utviklingsavtalene til å vurdere dette.</w:t>
      </w:r>
    </w:p>
    <w:p w14:paraId="591AB19C" w14:textId="77777777" w:rsidR="001970B5" w:rsidRPr="001970B5" w:rsidRDefault="001970B5" w:rsidP="001970B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1CA422" w14:textId="4A11E8DD" w:rsidR="001970B5" w:rsidRPr="005E332A" w:rsidRDefault="001970B5" w:rsidP="005E332A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color w:val="0070C0"/>
        </w:rPr>
      </w:pPr>
      <w:r w:rsidRPr="005E332A">
        <w:rPr>
          <w:rFonts w:asciiTheme="minorHAnsi" w:hAnsiTheme="minorHAnsi" w:cstheme="minorHAnsi"/>
          <w:color w:val="0070C0"/>
        </w:rPr>
        <w:t>Har dere andre forslag til hvordan finansieringen av universiteter og høyskoler kan innrettes for å medvirke enda bedre til måloppnåelse samlet sett i sektoren, samt at sektoren møter samfunnets behov?</w:t>
      </w:r>
    </w:p>
    <w:p w14:paraId="15D18CDD" w14:textId="56D0D647" w:rsidR="001970B5" w:rsidRPr="001970B5" w:rsidRDefault="001970B5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970B5">
        <w:rPr>
          <w:rFonts w:asciiTheme="minorHAnsi" w:hAnsiTheme="minorHAnsi" w:cstheme="minorHAnsi"/>
          <w:color w:val="000000"/>
          <w:sz w:val="22"/>
          <w:szCs w:val="22"/>
        </w:rPr>
        <w:t>UH sektoren har fått en kraftig vekst</w:t>
      </w:r>
      <w:r w:rsidR="002E41BB">
        <w:rPr>
          <w:rFonts w:asciiTheme="minorHAnsi" w:hAnsiTheme="minorHAnsi" w:cstheme="minorHAnsi"/>
          <w:color w:val="000000"/>
          <w:sz w:val="22"/>
          <w:szCs w:val="22"/>
        </w:rPr>
        <w:t xml:space="preserve"> i direkte overføringer siste årene</w:t>
      </w:r>
      <w:r w:rsidR="00624EA5">
        <w:rPr>
          <w:rFonts w:asciiTheme="minorHAnsi" w:hAnsiTheme="minorHAnsi" w:cstheme="minorHAnsi"/>
          <w:color w:val="000000"/>
          <w:sz w:val="22"/>
          <w:szCs w:val="22"/>
        </w:rPr>
        <w:t>. Vek</w:t>
      </w:r>
      <w:r w:rsidR="002E666E">
        <w:rPr>
          <w:rFonts w:asciiTheme="minorHAnsi" w:hAnsiTheme="minorHAnsi" w:cstheme="minorHAnsi"/>
          <w:color w:val="000000"/>
          <w:sz w:val="22"/>
          <w:szCs w:val="22"/>
        </w:rPr>
        <w:t>sten i vitenskapelige stillinger har vært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28% </w:t>
      </w:r>
      <w:r w:rsidR="002E666E">
        <w:rPr>
          <w:rFonts w:asciiTheme="minorHAnsi" w:hAnsiTheme="minorHAnsi" w:cstheme="minorHAnsi"/>
          <w:color w:val="000000"/>
          <w:sz w:val="22"/>
          <w:szCs w:val="22"/>
        </w:rPr>
        <w:t>i perioden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2015-2019</w:t>
      </w:r>
      <w:r w:rsidR="002E666E">
        <w:rPr>
          <w:rFonts w:asciiTheme="minorHAnsi" w:hAnsiTheme="minorHAnsi" w:cstheme="minorHAnsi"/>
          <w:color w:val="000000"/>
          <w:sz w:val="22"/>
          <w:szCs w:val="22"/>
        </w:rPr>
        <w:t xml:space="preserve"> (mot 7% vekst i studenttall i samme periode)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. NFR har ikke fått en tilsvarende vekst. Det medfører en kraftig økning av søknader til NFR, men uten at deres 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bevilgninger økes. UH-sektoren stimulerer til denne veksten i søknader ved at mye av veksten i UH er i forskerstillinger som spesielt oppfordres til å søke eksterne midler. I tillegg beholder man kulturen i UH om at basis brukes til lønn og ekstra driftsmidler - prosjektmidler skal man søke eksternt. Det er ikke bærekraftig. Når UH får mye større vekst i bevilgningene enn NFR, </w:t>
      </w:r>
      <w:r w:rsidR="006531B1">
        <w:rPr>
          <w:rFonts w:asciiTheme="minorHAnsi" w:hAnsiTheme="minorHAnsi" w:cstheme="minorHAnsi"/>
          <w:color w:val="000000"/>
          <w:sz w:val="22"/>
          <w:szCs w:val="22"/>
        </w:rPr>
        <w:t>bør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de i større grad finansiere prosjektmidler over eget budsjett, </w:t>
      </w:r>
      <w:proofErr w:type="spellStart"/>
      <w:proofErr w:type="gramStart"/>
      <w:r w:rsidR="006531B1">
        <w:rPr>
          <w:rFonts w:asciiTheme="minorHAnsi" w:hAnsiTheme="minorHAnsi" w:cstheme="minorHAnsi"/>
          <w:color w:val="000000"/>
          <w:sz w:val="22"/>
          <w:szCs w:val="22"/>
        </w:rPr>
        <w:t>jfr</w:t>
      </w:r>
      <w:proofErr w:type="spellEnd"/>
      <w:r w:rsidR="006531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også</w:t>
      </w:r>
      <w:proofErr w:type="gramEnd"/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531B1">
        <w:rPr>
          <w:rFonts w:asciiTheme="minorHAnsi" w:hAnsiTheme="minorHAnsi" w:cstheme="minorHAnsi"/>
          <w:color w:val="000000"/>
          <w:sz w:val="22"/>
          <w:szCs w:val="22"/>
        </w:rPr>
        <w:t>diskusjonen om overføringer fra år til år og den aktuelle diskusjonen</w:t>
      </w:r>
      <w:r w:rsidR="00283783">
        <w:rPr>
          <w:rFonts w:asciiTheme="minorHAnsi" w:hAnsiTheme="minorHAnsi" w:cstheme="minorHAnsi"/>
          <w:color w:val="000000"/>
          <w:sz w:val="22"/>
          <w:szCs w:val="22"/>
        </w:rPr>
        <w:t xml:space="preserve"> rundt 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>Fellesløftet i</w:t>
      </w:r>
      <w:r w:rsidR="00283783">
        <w:rPr>
          <w:rFonts w:asciiTheme="minorHAnsi" w:hAnsiTheme="minorHAnsi" w:cstheme="minorHAnsi"/>
          <w:color w:val="000000"/>
          <w:sz w:val="22"/>
          <w:szCs w:val="22"/>
        </w:rPr>
        <w:t xml:space="preserve"> forbindelse med Statsbudsjettet 2022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315ABF7" w14:textId="77777777" w:rsidR="001970B5" w:rsidRPr="001970B5" w:rsidRDefault="001970B5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72E69E" w14:textId="1FD8455B" w:rsidR="001970B5" w:rsidRPr="001970B5" w:rsidRDefault="001970B5" w:rsidP="00E16947">
      <w:p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Vi vil påpeke denne utviklingen og </w:t>
      </w:r>
      <w:r w:rsidR="007F3227">
        <w:rPr>
          <w:rFonts w:asciiTheme="minorHAnsi" w:hAnsiTheme="minorHAnsi" w:cstheme="minorHAnsi"/>
          <w:color w:val="000000"/>
          <w:sz w:val="22"/>
          <w:szCs w:val="22"/>
        </w:rPr>
        <w:t>vil anbefale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F3227">
        <w:rPr>
          <w:rFonts w:asciiTheme="minorHAnsi" w:hAnsiTheme="minorHAnsi" w:cstheme="minorHAnsi"/>
          <w:color w:val="000000"/>
          <w:sz w:val="22"/>
          <w:szCs w:val="22"/>
        </w:rPr>
        <w:t>følgende</w:t>
      </w:r>
      <w:r w:rsidRPr="001970B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006049C" w14:textId="41DFDABD" w:rsidR="001970B5" w:rsidRPr="0044291F" w:rsidRDefault="00EB1D4A" w:rsidP="00E16947">
      <w:pPr>
        <w:pStyle w:val="Listeavsnitt"/>
        <w:numPr>
          <w:ilvl w:val="0"/>
          <w:numId w:val="43"/>
        </w:numPr>
        <w:ind w:left="720"/>
        <w:rPr>
          <w:rFonts w:asciiTheme="minorHAnsi" w:hAnsiTheme="minorHAnsi" w:cstheme="minorHAnsi"/>
          <w:color w:val="000000"/>
        </w:rPr>
      </w:pPr>
      <w:r w:rsidRPr="0044291F">
        <w:rPr>
          <w:rFonts w:asciiTheme="minorHAnsi" w:hAnsiTheme="minorHAnsi" w:cstheme="minorHAnsi"/>
          <w:color w:val="000000"/>
        </w:rPr>
        <w:t>Fortsette å s</w:t>
      </w:r>
      <w:r w:rsidR="001970B5" w:rsidRPr="0044291F">
        <w:rPr>
          <w:rFonts w:asciiTheme="minorHAnsi" w:hAnsiTheme="minorHAnsi" w:cstheme="minorHAnsi"/>
          <w:color w:val="000000"/>
        </w:rPr>
        <w:t xml:space="preserve">timulere til å søke om EU-midler. </w:t>
      </w:r>
      <w:r w:rsidR="00290EEF" w:rsidRPr="0044291F">
        <w:rPr>
          <w:rFonts w:asciiTheme="minorHAnsi" w:hAnsiTheme="minorHAnsi" w:cstheme="minorHAnsi"/>
          <w:color w:val="000000"/>
        </w:rPr>
        <w:t>Flere</w:t>
      </w:r>
      <w:r w:rsidR="001970B5" w:rsidRPr="0044291F">
        <w:rPr>
          <w:rFonts w:asciiTheme="minorHAnsi" w:hAnsiTheme="minorHAnsi" w:cstheme="minorHAnsi"/>
          <w:color w:val="000000"/>
        </w:rPr>
        <w:t xml:space="preserve"> søknader</w:t>
      </w:r>
      <w:r w:rsidR="00290EEF" w:rsidRPr="0044291F">
        <w:rPr>
          <w:rFonts w:asciiTheme="minorHAnsi" w:hAnsiTheme="minorHAnsi" w:cstheme="minorHAnsi"/>
          <w:color w:val="000000"/>
        </w:rPr>
        <w:t xml:space="preserve"> vil</w:t>
      </w:r>
      <w:r w:rsidR="001970B5" w:rsidRPr="0044291F">
        <w:rPr>
          <w:rFonts w:asciiTheme="minorHAnsi" w:hAnsiTheme="minorHAnsi" w:cstheme="minorHAnsi"/>
          <w:color w:val="000000"/>
        </w:rPr>
        <w:t xml:space="preserve"> gi mer bevilgninger.</w:t>
      </w:r>
    </w:p>
    <w:p w14:paraId="01EB738C" w14:textId="231F2143" w:rsidR="001970B5" w:rsidRPr="0044291F" w:rsidRDefault="001970B5" w:rsidP="00E16947">
      <w:pPr>
        <w:pStyle w:val="Listeavsnitt"/>
        <w:numPr>
          <w:ilvl w:val="0"/>
          <w:numId w:val="43"/>
        </w:numPr>
        <w:ind w:left="720"/>
        <w:rPr>
          <w:rFonts w:asciiTheme="minorHAnsi" w:hAnsiTheme="minorHAnsi" w:cstheme="minorHAnsi"/>
          <w:color w:val="000000"/>
        </w:rPr>
      </w:pPr>
      <w:r w:rsidRPr="0044291F">
        <w:rPr>
          <w:rFonts w:asciiTheme="minorHAnsi" w:hAnsiTheme="minorHAnsi" w:cstheme="minorHAnsi"/>
          <w:color w:val="000000"/>
        </w:rPr>
        <w:t xml:space="preserve">NFR-budsjettet bør vokse minst like mye som </w:t>
      </w:r>
      <w:r w:rsidR="00FC5F96" w:rsidRPr="0044291F">
        <w:rPr>
          <w:rFonts w:asciiTheme="minorHAnsi" w:hAnsiTheme="minorHAnsi" w:cstheme="minorHAnsi"/>
          <w:color w:val="000000"/>
        </w:rPr>
        <w:t>eksternforskning vokser</w:t>
      </w:r>
      <w:r w:rsidRPr="0044291F">
        <w:rPr>
          <w:rFonts w:asciiTheme="minorHAnsi" w:hAnsiTheme="minorHAnsi" w:cstheme="minorHAnsi"/>
          <w:color w:val="000000"/>
        </w:rPr>
        <w:t xml:space="preserve"> i UH, </w:t>
      </w:r>
      <w:r w:rsidR="00290EEF" w:rsidRPr="0044291F">
        <w:rPr>
          <w:rFonts w:asciiTheme="minorHAnsi" w:hAnsiTheme="minorHAnsi" w:cstheme="minorHAnsi"/>
          <w:color w:val="000000"/>
        </w:rPr>
        <w:t xml:space="preserve">for slik å </w:t>
      </w:r>
      <w:r w:rsidRPr="0044291F">
        <w:rPr>
          <w:rFonts w:asciiTheme="minorHAnsi" w:hAnsiTheme="minorHAnsi" w:cstheme="minorHAnsi"/>
          <w:color w:val="000000"/>
        </w:rPr>
        <w:t>ta igjen det tapte de siste årene</w:t>
      </w:r>
      <w:r w:rsidR="006260C3" w:rsidRPr="0044291F">
        <w:rPr>
          <w:rFonts w:asciiTheme="minorHAnsi" w:hAnsiTheme="minorHAnsi" w:cstheme="minorHAnsi"/>
          <w:color w:val="000000"/>
        </w:rPr>
        <w:t>.</w:t>
      </w:r>
    </w:p>
    <w:p w14:paraId="40BC6F0B" w14:textId="1AB0C4B1" w:rsidR="001970B5" w:rsidRPr="0044291F" w:rsidRDefault="001970B5" w:rsidP="00E16947">
      <w:pPr>
        <w:pStyle w:val="Listeavsnitt"/>
        <w:numPr>
          <w:ilvl w:val="0"/>
          <w:numId w:val="43"/>
        </w:numPr>
        <w:ind w:left="720"/>
        <w:rPr>
          <w:rFonts w:asciiTheme="minorHAnsi" w:hAnsiTheme="minorHAnsi" w:cstheme="minorHAnsi"/>
          <w:color w:val="000000"/>
        </w:rPr>
      </w:pPr>
      <w:r w:rsidRPr="0044291F">
        <w:rPr>
          <w:rFonts w:asciiTheme="minorHAnsi" w:hAnsiTheme="minorHAnsi" w:cstheme="minorHAnsi"/>
          <w:color w:val="000000"/>
        </w:rPr>
        <w:t>Hvis NFR-midler ikke vokser mer enn UH sektoren</w:t>
      </w:r>
      <w:r w:rsidR="00EB1D4A" w:rsidRPr="0044291F">
        <w:rPr>
          <w:rFonts w:asciiTheme="minorHAnsi" w:hAnsiTheme="minorHAnsi" w:cstheme="minorHAnsi"/>
          <w:color w:val="000000"/>
        </w:rPr>
        <w:t>s</w:t>
      </w:r>
      <w:r w:rsidR="00CF08E9" w:rsidRPr="0044291F">
        <w:rPr>
          <w:rFonts w:asciiTheme="minorHAnsi" w:hAnsiTheme="minorHAnsi" w:cstheme="minorHAnsi"/>
          <w:color w:val="000000"/>
        </w:rPr>
        <w:t xml:space="preserve"> forskning</w:t>
      </w:r>
      <w:r w:rsidRPr="0044291F">
        <w:rPr>
          <w:rFonts w:asciiTheme="minorHAnsi" w:hAnsiTheme="minorHAnsi" w:cstheme="minorHAnsi"/>
          <w:color w:val="000000"/>
        </w:rPr>
        <w:t xml:space="preserve">, må UH sektoren regne med større avslagsprosent. </w:t>
      </w:r>
      <w:r w:rsidR="005064EE" w:rsidRPr="0044291F">
        <w:rPr>
          <w:rFonts w:asciiTheme="minorHAnsi" w:hAnsiTheme="minorHAnsi" w:cstheme="minorHAnsi"/>
          <w:color w:val="000000"/>
        </w:rPr>
        <w:t xml:space="preserve">Ev </w:t>
      </w:r>
      <w:r w:rsidR="002A5DE3" w:rsidRPr="0044291F">
        <w:rPr>
          <w:rFonts w:asciiTheme="minorHAnsi" w:hAnsiTheme="minorHAnsi" w:cstheme="minorHAnsi"/>
          <w:color w:val="000000"/>
        </w:rPr>
        <w:t xml:space="preserve">må UH finansiere en større andel av </w:t>
      </w:r>
      <w:r w:rsidR="00ED206D" w:rsidRPr="0044291F">
        <w:rPr>
          <w:rFonts w:asciiTheme="minorHAnsi" w:hAnsiTheme="minorHAnsi" w:cstheme="minorHAnsi"/>
          <w:color w:val="000000"/>
        </w:rPr>
        <w:t xml:space="preserve">driftsmidler i </w:t>
      </w:r>
      <w:r w:rsidR="002A5DE3" w:rsidRPr="0044291F">
        <w:rPr>
          <w:rFonts w:asciiTheme="minorHAnsi" w:hAnsiTheme="minorHAnsi" w:cstheme="minorHAnsi"/>
          <w:color w:val="000000"/>
        </w:rPr>
        <w:t>forskningsprosjekte</w:t>
      </w:r>
      <w:r w:rsidR="00ED206D" w:rsidRPr="0044291F">
        <w:rPr>
          <w:rFonts w:asciiTheme="minorHAnsi" w:hAnsiTheme="minorHAnsi" w:cstheme="minorHAnsi"/>
          <w:color w:val="000000"/>
        </w:rPr>
        <w:t>r</w:t>
      </w:r>
      <w:r w:rsidR="002A5DE3" w:rsidRPr="0044291F">
        <w:rPr>
          <w:rFonts w:asciiTheme="minorHAnsi" w:hAnsiTheme="minorHAnsi" w:cstheme="minorHAnsi"/>
          <w:color w:val="000000"/>
        </w:rPr>
        <w:t xml:space="preserve"> over egen grunn</w:t>
      </w:r>
      <w:r w:rsidR="00ED206D" w:rsidRPr="0044291F">
        <w:rPr>
          <w:rFonts w:asciiTheme="minorHAnsi" w:hAnsiTheme="minorHAnsi" w:cstheme="minorHAnsi"/>
          <w:color w:val="000000"/>
        </w:rPr>
        <w:t xml:space="preserve">bevilgning. </w:t>
      </w:r>
    </w:p>
    <w:p w14:paraId="17FCCE70" w14:textId="0B79A627" w:rsidR="001970B5" w:rsidRPr="0044291F" w:rsidRDefault="001970B5" w:rsidP="00E16947">
      <w:pPr>
        <w:pStyle w:val="Listeavsnitt"/>
        <w:numPr>
          <w:ilvl w:val="0"/>
          <w:numId w:val="43"/>
        </w:numPr>
        <w:ind w:left="720"/>
        <w:rPr>
          <w:rFonts w:asciiTheme="minorHAnsi" w:hAnsiTheme="minorHAnsi" w:cstheme="minorHAnsi"/>
          <w:color w:val="000000"/>
        </w:rPr>
      </w:pPr>
      <w:r w:rsidRPr="0044291F">
        <w:rPr>
          <w:rFonts w:asciiTheme="minorHAnsi" w:hAnsiTheme="minorHAnsi" w:cstheme="minorHAnsi"/>
          <w:color w:val="000000"/>
        </w:rPr>
        <w:t xml:space="preserve">I mange av utlysningene i NFR er innvilgelsesraten så lav, at </w:t>
      </w:r>
      <w:r w:rsidR="001B064E" w:rsidRPr="0044291F">
        <w:rPr>
          <w:rFonts w:asciiTheme="minorHAnsi" w:hAnsiTheme="minorHAnsi" w:cstheme="minorHAnsi"/>
          <w:color w:val="000000"/>
        </w:rPr>
        <w:t>søknadsomfanget</w:t>
      </w:r>
      <w:r w:rsidRPr="0044291F">
        <w:rPr>
          <w:rFonts w:asciiTheme="minorHAnsi" w:hAnsiTheme="minorHAnsi" w:cstheme="minorHAnsi"/>
          <w:color w:val="000000"/>
        </w:rPr>
        <w:t xml:space="preserve"> er en dårlig bruk av offentlige midler. </w:t>
      </w:r>
      <w:r w:rsidR="001B064E" w:rsidRPr="0044291F">
        <w:rPr>
          <w:rFonts w:asciiTheme="minorHAnsi" w:hAnsiTheme="minorHAnsi" w:cstheme="minorHAnsi"/>
          <w:color w:val="000000"/>
        </w:rPr>
        <w:t xml:space="preserve">Særlig </w:t>
      </w:r>
      <w:r w:rsidRPr="0044291F">
        <w:rPr>
          <w:rFonts w:asciiTheme="minorHAnsi" w:hAnsiTheme="minorHAnsi" w:cstheme="minorHAnsi"/>
          <w:color w:val="000000"/>
        </w:rPr>
        <w:t xml:space="preserve">der søkerne allerede er fullt </w:t>
      </w:r>
      <w:r w:rsidR="008D73CF" w:rsidRPr="0044291F">
        <w:rPr>
          <w:rFonts w:asciiTheme="minorHAnsi" w:hAnsiTheme="minorHAnsi" w:cstheme="minorHAnsi"/>
          <w:color w:val="000000"/>
        </w:rPr>
        <w:t>finansier</w:t>
      </w:r>
      <w:r w:rsidRPr="0044291F">
        <w:rPr>
          <w:rFonts w:asciiTheme="minorHAnsi" w:hAnsiTheme="minorHAnsi" w:cstheme="minorHAnsi"/>
          <w:color w:val="000000"/>
        </w:rPr>
        <w:t>t av offentlige midler. Hvis innvilgelsesraten blir for lav, vil personer med privat</w:t>
      </w:r>
      <w:r w:rsidR="00B0615B" w:rsidRPr="0044291F">
        <w:rPr>
          <w:rFonts w:asciiTheme="minorHAnsi" w:hAnsiTheme="minorHAnsi" w:cstheme="minorHAnsi"/>
          <w:color w:val="000000"/>
        </w:rPr>
        <w:t xml:space="preserve">/uten </w:t>
      </w:r>
      <w:proofErr w:type="spellStart"/>
      <w:r w:rsidR="00B0615B" w:rsidRPr="0044291F">
        <w:rPr>
          <w:rFonts w:asciiTheme="minorHAnsi" w:hAnsiTheme="minorHAnsi" w:cstheme="minorHAnsi"/>
          <w:color w:val="000000"/>
        </w:rPr>
        <w:t>offenlig</w:t>
      </w:r>
      <w:proofErr w:type="spellEnd"/>
      <w:r w:rsidRPr="0044291F">
        <w:rPr>
          <w:rFonts w:asciiTheme="minorHAnsi" w:hAnsiTheme="minorHAnsi" w:cstheme="minorHAnsi"/>
          <w:color w:val="000000"/>
        </w:rPr>
        <w:t xml:space="preserve"> finansiering til slutt stoppe å søke. Innen F</w:t>
      </w:r>
      <w:r w:rsidR="00B0615B" w:rsidRPr="0044291F">
        <w:rPr>
          <w:rFonts w:asciiTheme="minorHAnsi" w:hAnsiTheme="minorHAnsi" w:cstheme="minorHAnsi"/>
          <w:color w:val="000000"/>
        </w:rPr>
        <w:t>RIPRO</w:t>
      </w:r>
      <w:r w:rsidRPr="0044291F">
        <w:rPr>
          <w:rFonts w:asciiTheme="minorHAnsi" w:hAnsiTheme="minorHAnsi" w:cstheme="minorHAnsi"/>
          <w:color w:val="000000"/>
        </w:rPr>
        <w:t xml:space="preserve"> går 85% av midlene til UH</w:t>
      </w:r>
      <w:r w:rsidR="00B04462" w:rsidRPr="0044291F">
        <w:rPr>
          <w:rFonts w:asciiTheme="minorHAnsi" w:hAnsiTheme="minorHAnsi" w:cstheme="minorHAnsi"/>
          <w:color w:val="000000"/>
        </w:rPr>
        <w:t xml:space="preserve"> </w:t>
      </w:r>
      <w:r w:rsidRPr="0044291F">
        <w:rPr>
          <w:rFonts w:asciiTheme="minorHAnsi" w:hAnsiTheme="minorHAnsi" w:cstheme="minorHAnsi"/>
          <w:color w:val="000000"/>
        </w:rPr>
        <w:t>sektoren</w:t>
      </w:r>
      <w:r w:rsidR="00B04462" w:rsidRPr="0044291F">
        <w:rPr>
          <w:rFonts w:asciiTheme="minorHAnsi" w:hAnsiTheme="minorHAnsi" w:cstheme="minorHAnsi"/>
          <w:color w:val="000000"/>
        </w:rPr>
        <w:t>. Det betyr at vi i Norge</w:t>
      </w:r>
      <w:r w:rsidRPr="0044291F">
        <w:rPr>
          <w:rFonts w:asciiTheme="minorHAnsi" w:hAnsiTheme="minorHAnsi" w:cstheme="minorHAnsi"/>
          <w:color w:val="000000"/>
        </w:rPr>
        <w:t xml:space="preserve"> bruker mye av UH</w:t>
      </w:r>
      <w:r w:rsidR="00B04462" w:rsidRPr="0044291F">
        <w:rPr>
          <w:rFonts w:asciiTheme="minorHAnsi" w:hAnsiTheme="minorHAnsi" w:cstheme="minorHAnsi"/>
          <w:color w:val="000000"/>
        </w:rPr>
        <w:t xml:space="preserve"> </w:t>
      </w:r>
      <w:r w:rsidRPr="0044291F">
        <w:rPr>
          <w:rFonts w:asciiTheme="minorHAnsi" w:hAnsiTheme="minorHAnsi" w:cstheme="minorHAnsi"/>
          <w:color w:val="000000"/>
        </w:rPr>
        <w:t xml:space="preserve">sektorens </w:t>
      </w:r>
      <w:r w:rsidR="00B04462" w:rsidRPr="0044291F">
        <w:rPr>
          <w:rFonts w:asciiTheme="minorHAnsi" w:hAnsiTheme="minorHAnsi" w:cstheme="minorHAnsi"/>
          <w:color w:val="000000"/>
        </w:rPr>
        <w:t>grunnbevilgning</w:t>
      </w:r>
      <w:r w:rsidRPr="0044291F">
        <w:rPr>
          <w:rFonts w:asciiTheme="minorHAnsi" w:hAnsiTheme="minorHAnsi" w:cstheme="minorHAnsi"/>
          <w:color w:val="000000"/>
        </w:rPr>
        <w:t xml:space="preserve"> for å fordele forskningsmidler internt i UH</w:t>
      </w:r>
      <w:r w:rsidR="00B04462" w:rsidRPr="0044291F">
        <w:rPr>
          <w:rFonts w:asciiTheme="minorHAnsi" w:hAnsiTheme="minorHAnsi" w:cstheme="minorHAnsi"/>
          <w:color w:val="000000"/>
        </w:rPr>
        <w:t xml:space="preserve"> </w:t>
      </w:r>
      <w:r w:rsidRPr="0044291F">
        <w:rPr>
          <w:rFonts w:asciiTheme="minorHAnsi" w:hAnsiTheme="minorHAnsi" w:cstheme="minorHAnsi"/>
          <w:color w:val="000000"/>
        </w:rPr>
        <w:t>sektor</w:t>
      </w:r>
      <w:r w:rsidR="00B04462" w:rsidRPr="0044291F">
        <w:rPr>
          <w:rFonts w:asciiTheme="minorHAnsi" w:hAnsiTheme="minorHAnsi" w:cstheme="minorHAnsi"/>
          <w:color w:val="000000"/>
        </w:rPr>
        <w:t>en</w:t>
      </w:r>
      <w:r w:rsidRPr="0044291F">
        <w:rPr>
          <w:rFonts w:asciiTheme="minorHAnsi" w:hAnsiTheme="minorHAnsi" w:cstheme="minorHAnsi"/>
          <w:color w:val="000000"/>
        </w:rPr>
        <w:t xml:space="preserve">. </w:t>
      </w:r>
      <w:r w:rsidR="00B04462" w:rsidRPr="0044291F">
        <w:rPr>
          <w:rFonts w:asciiTheme="minorHAnsi" w:hAnsiTheme="minorHAnsi" w:cstheme="minorHAnsi"/>
          <w:color w:val="000000"/>
        </w:rPr>
        <w:t xml:space="preserve">Det bør vurderes om </w:t>
      </w:r>
      <w:r w:rsidR="004F703C" w:rsidRPr="0044291F">
        <w:rPr>
          <w:rFonts w:asciiTheme="minorHAnsi" w:hAnsiTheme="minorHAnsi" w:cstheme="minorHAnsi"/>
          <w:color w:val="000000"/>
        </w:rPr>
        <w:t xml:space="preserve">en annen vekting av søknads- og finansieringsaktiviteten kan gi en mer effektiv ressursbruk, </w:t>
      </w:r>
      <w:r w:rsidR="000029B6" w:rsidRPr="0044291F">
        <w:rPr>
          <w:rFonts w:asciiTheme="minorHAnsi" w:hAnsiTheme="minorHAnsi" w:cstheme="minorHAnsi"/>
          <w:color w:val="000000"/>
        </w:rPr>
        <w:t xml:space="preserve">for eksempel at UH sektorens egne forskningsmidler (grunnbevilgningen) i større grad kan disponeres til å finansiere denne typen forskningsprosjekter. </w:t>
      </w:r>
    </w:p>
    <w:p w14:paraId="434FF36F" w14:textId="13EEC410" w:rsidR="00511B8C" w:rsidRDefault="00511B8C" w:rsidP="00511B8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511B8C">
        <w:rPr>
          <w:rFonts w:asciiTheme="minorHAnsi" w:hAnsiTheme="minorHAnsi" w:cstheme="minorHAnsi"/>
          <w:color w:val="000000"/>
          <w:sz w:val="22"/>
          <w:szCs w:val="22"/>
        </w:rPr>
        <w:t xml:space="preserve">Vi takker for muligheten til å gi våre innspill og ønsker lykke til med </w:t>
      </w:r>
      <w:r w:rsidR="00051E12">
        <w:rPr>
          <w:rFonts w:asciiTheme="minorHAnsi" w:hAnsiTheme="minorHAnsi" w:cstheme="minorHAnsi"/>
          <w:color w:val="000000"/>
          <w:sz w:val="22"/>
          <w:szCs w:val="22"/>
        </w:rPr>
        <w:t>arbeidet med finansieringsmodell i ekspertutvalget</w:t>
      </w:r>
      <w:r w:rsidR="0050534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73588C" w14:textId="77777777" w:rsidR="00E16947" w:rsidRDefault="00E16947" w:rsidP="00511B8C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C00FF2E" w14:textId="77777777" w:rsidR="00874D10" w:rsidRDefault="00874D10" w:rsidP="00874D10">
      <w:pPr>
        <w:rPr>
          <w:rFonts w:ascii="Calibri" w:hAnsi="Calibri" w:cs="Calibri"/>
          <w:sz w:val="22"/>
          <w:szCs w:val="22"/>
        </w:rPr>
      </w:pPr>
      <w:r w:rsidRPr="00874D10">
        <w:rPr>
          <w:rFonts w:ascii="Calibri" w:hAnsi="Calibri" w:cs="Calibri"/>
          <w:sz w:val="22"/>
          <w:szCs w:val="22"/>
        </w:rPr>
        <w:t>Vennlig hilsen</w:t>
      </w:r>
    </w:p>
    <w:p w14:paraId="2A497BB0" w14:textId="77777777" w:rsidR="00107266" w:rsidRPr="00874D10" w:rsidRDefault="00107266" w:rsidP="00874D10">
      <w:pPr>
        <w:rPr>
          <w:rFonts w:ascii="Calibri" w:hAnsi="Calibri" w:cs="Calibri"/>
          <w:sz w:val="22"/>
          <w:szCs w:val="22"/>
        </w:rPr>
      </w:pPr>
    </w:p>
    <w:p w14:paraId="5D4A637F" w14:textId="22BBA3BF" w:rsidR="00874D10" w:rsidRDefault="00107266" w:rsidP="00874D10">
      <w:pPr>
        <w:rPr>
          <w:rFonts w:ascii="Calibri" w:hAnsi="Calibri" w:cs="Calibri"/>
          <w:sz w:val="22"/>
          <w:szCs w:val="22"/>
        </w:rPr>
      </w:pPr>
      <w:r w:rsidRPr="007A291A">
        <w:rPr>
          <w:rFonts w:ascii="Palatino Linotype" w:hAnsi="Palatino Linotype"/>
          <w:noProof/>
        </w:rPr>
        <w:drawing>
          <wp:anchor distT="0" distB="0" distL="114300" distR="114300" simplePos="0" relativeHeight="251659264" behindDoc="0" locked="0" layoutInCell="1" allowOverlap="1" wp14:anchorId="55A44E82" wp14:editId="710D6786">
            <wp:simplePos x="0" y="0"/>
            <wp:positionH relativeFrom="column">
              <wp:posOffset>0</wp:posOffset>
            </wp:positionH>
            <wp:positionV relativeFrom="paragraph">
              <wp:posOffset>9246</wp:posOffset>
            </wp:positionV>
            <wp:extent cx="1076325" cy="338455"/>
            <wp:effectExtent l="0" t="0" r="9525" b="4445"/>
            <wp:wrapNone/>
            <wp:docPr id="15" name="Picture 2" descr="lars_holden_sig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s_holden_signat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3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564C7" w14:textId="280D567C" w:rsidR="00874D10" w:rsidRPr="00874D10" w:rsidRDefault="00874D10" w:rsidP="00874D10">
      <w:pPr>
        <w:rPr>
          <w:rFonts w:ascii="Calibri" w:hAnsi="Calibri" w:cs="Calibri"/>
          <w:sz w:val="22"/>
          <w:szCs w:val="22"/>
        </w:rPr>
      </w:pPr>
    </w:p>
    <w:p w14:paraId="09D7EC89" w14:textId="2D4B023B" w:rsidR="00874D10" w:rsidRPr="00874D10" w:rsidRDefault="00107266" w:rsidP="0010726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Lars Holden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874D10" w:rsidRPr="00874D10">
        <w:rPr>
          <w:rFonts w:ascii="Calibri" w:hAnsi="Calibri" w:cs="Calibri"/>
          <w:i/>
          <w:sz w:val="22"/>
          <w:szCs w:val="22"/>
        </w:rPr>
        <w:t>Agnes Landstad</w:t>
      </w:r>
    </w:p>
    <w:p w14:paraId="35E790CC" w14:textId="5A5DB744" w:rsidR="006770FA" w:rsidRPr="00AB3066" w:rsidRDefault="00107266" w:rsidP="00874D1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>Styreleder FFA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874D10" w:rsidRPr="00874D10">
        <w:rPr>
          <w:rFonts w:ascii="Calibri" w:hAnsi="Calibri" w:cs="Calibri"/>
          <w:sz w:val="18"/>
          <w:szCs w:val="18"/>
        </w:rPr>
        <w:t>Daglig leder FFA</w:t>
      </w:r>
    </w:p>
    <w:sectPr w:rsidR="006770FA" w:rsidRPr="00AB3066" w:rsidSect="00D408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133" w:bottom="141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6622" w14:textId="77777777" w:rsidR="009D4261" w:rsidRDefault="009D4261" w:rsidP="0032655B">
      <w:r>
        <w:separator/>
      </w:r>
    </w:p>
  </w:endnote>
  <w:endnote w:type="continuationSeparator" w:id="0">
    <w:p w14:paraId="51E0C0A3" w14:textId="77777777" w:rsidR="009D4261" w:rsidRDefault="009D4261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78FC" w14:textId="77777777" w:rsidR="00A74959" w:rsidRDefault="00A749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5185279D" w:rsidR="00FB611F" w:rsidRDefault="00D4450A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noProof/>
      </w:rPr>
      <w:pict w14:anchorId="7394EA03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position:absolute;margin-left:-.55pt;margin-top:-22.5pt;width:582.5pt;height:62.1pt;flip:y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" filled="f" stroked="f">
          <v:textbox style="mso-next-textbox:#Text Box 5">
            <w:txbxContent>
              <w:p w14:paraId="5F2FB72E" w14:textId="77777777" w:rsidR="00FB611F" w:rsidRPr="00A54406" w:rsidRDefault="00FB611F" w:rsidP="00081397">
                <w:pPr>
                  <w:ind w:left="1276" w:hanging="1276"/>
                  <w:rPr>
                    <w:rFonts w:ascii="Arial" w:hAnsi="Arial" w:cs="Arial"/>
                    <w:sz w:val="18"/>
                    <w:szCs w:val="18"/>
                    <w:lang w:val="nn-NO"/>
                  </w:rPr>
                </w:pPr>
                <w:r w:rsidRPr="00A54406">
                  <w:rPr>
                    <w:rFonts w:ascii="Arial" w:hAnsi="Arial" w:cs="Arial"/>
                    <w:sz w:val="18"/>
                    <w:szCs w:val="18"/>
                    <w:lang w:val="nn-NO"/>
                  </w:rPr>
                  <w:br/>
                </w:r>
              </w:p>
              <w:p w14:paraId="46D0AAE9" w14:textId="37EEC2ED" w:rsidR="00A54406" w:rsidRPr="00A54406" w:rsidRDefault="00CF705C" w:rsidP="006F312B">
                <w:pPr>
                  <w:pStyle w:val="Topptekst"/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</w:pPr>
                <w:r w:rsidRPr="00A54406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>Postboks 5490, Majorstuen 0305 Oslo</w:t>
                </w:r>
                <w:r w:rsidR="00A54406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ab/>
                  <w:t xml:space="preserve">                      </w:t>
                </w:r>
                <w:r w:rsidRPr="00A54406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 xml:space="preserve"> </w:t>
                </w:r>
                <w:r w:rsidR="0000470F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 xml:space="preserve">  </w:t>
                </w:r>
                <w:proofErr w:type="spellStart"/>
                <w:r w:rsidRPr="00A54406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>Tlf</w:t>
                </w:r>
                <w:proofErr w:type="spellEnd"/>
                <w:r w:rsidRPr="00A54406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 xml:space="preserve"> 915 46 610</w:t>
                </w:r>
                <w:r w:rsidR="00EB7C04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 xml:space="preserve">                                  </w:t>
                </w:r>
                <w:r w:rsidR="0000470F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 xml:space="preserve">  </w:t>
                </w:r>
                <w:proofErr w:type="spellStart"/>
                <w:r w:rsidRPr="00A54406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>Epost</w:t>
                </w:r>
                <w:proofErr w:type="spellEnd"/>
                <w:r w:rsidRPr="00A54406"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  <w:t xml:space="preserve">: </w:t>
                </w:r>
                <w:hyperlink r:id="rId1" w:history="1">
                  <w:r w:rsidR="006F312B" w:rsidRPr="00A54406">
                    <w:rPr>
                      <w:rStyle w:val="Hyperkobling"/>
                      <w:rFonts w:asciiTheme="minorHAnsi" w:hAnsiTheme="minorHAnsi" w:cstheme="minorHAnsi"/>
                      <w:sz w:val="18"/>
                      <w:szCs w:val="18"/>
                      <w:lang w:val="nn-NO"/>
                    </w:rPr>
                    <w:t>agnes.landstad@abelia.no</w:t>
                  </w:r>
                </w:hyperlink>
              </w:p>
              <w:p w14:paraId="7D631EEF" w14:textId="2F190100" w:rsidR="00CF705C" w:rsidRPr="00A54406" w:rsidRDefault="00D4450A" w:rsidP="006F312B">
                <w:pPr>
                  <w:pStyle w:val="Topptekst"/>
                  <w:rPr>
                    <w:rFonts w:asciiTheme="minorHAnsi" w:hAnsiTheme="minorHAnsi" w:cstheme="minorHAnsi"/>
                    <w:sz w:val="18"/>
                    <w:szCs w:val="18"/>
                    <w:lang w:val="nn-NO"/>
                  </w:rPr>
                </w:pPr>
                <w:hyperlink r:id="rId2" w:history="1">
                  <w:r w:rsidR="00A54406" w:rsidRPr="00A54406">
                    <w:rPr>
                      <w:rStyle w:val="Hyperkobling"/>
                      <w:rFonts w:asciiTheme="minorHAnsi" w:hAnsiTheme="minorHAnsi" w:cstheme="minorHAnsi"/>
                      <w:sz w:val="18"/>
                      <w:szCs w:val="18"/>
                      <w:lang w:val="nn-NO"/>
                    </w:rPr>
                    <w:t>https://www.abelia.no/bransjeforeninger/ffa-forskningsinstituttenes-fellesarena/</w:t>
                  </w:r>
                </w:hyperlink>
              </w:p>
              <w:p w14:paraId="1234AD77" w14:textId="77777777" w:rsidR="00A54406" w:rsidRPr="00A54406" w:rsidRDefault="00A54406" w:rsidP="006F312B">
                <w:pPr>
                  <w:pStyle w:val="Topptekst"/>
                  <w:rPr>
                    <w:sz w:val="18"/>
                    <w:szCs w:val="18"/>
                    <w:lang w:val="nn-NO"/>
                  </w:rPr>
                </w:pPr>
              </w:p>
              <w:p w14:paraId="638BB46C" w14:textId="77777777" w:rsidR="00FB611F" w:rsidRPr="00A54406" w:rsidRDefault="00FB611F" w:rsidP="00081397">
                <w:pPr>
                  <w:ind w:left="1695" w:hanging="1695"/>
                  <w:rPr>
                    <w:sz w:val="18"/>
                    <w:szCs w:val="18"/>
                    <w:lang w:val="nn-NO"/>
                  </w:rPr>
                </w:pPr>
              </w:p>
            </w:txbxContent>
          </v:textbox>
        </v:shape>
      </w:pict>
    </w:r>
    <w:r>
      <w:rPr>
        <w:noProof/>
      </w:rPr>
      <w:pict w14:anchorId="1D123F23">
        <v:shape id="Text Box 17" o:spid="_x0000_s2058" type="#_x0000_t202" style="position:absolute;margin-left:386.15pt;margin-top:-.1pt;width:5.7pt;height:1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" filled="f" stroked="f">
          <v:textbox style="mso-next-textbox:#Text Box 17">
            <w:txbxContent>
              <w:p w14:paraId="487502FC" w14:textId="77777777" w:rsidR="00FB611F" w:rsidRPr="0032655B" w:rsidRDefault="00FB611F" w:rsidP="0032655B"/>
            </w:txbxContent>
          </v:textbox>
        </v:shape>
      </w:pict>
    </w:r>
    <w:r>
      <w:rPr>
        <w:noProof/>
      </w:rPr>
      <w:pict w14:anchorId="0CD7F125">
        <v:shape id="Text Box 15" o:spid="_x0000_s2057" type="#_x0000_t202" style="position:absolute;margin-left:69.7pt;margin-top:22.55pt;width:186.0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" filled="f" stroked="f">
          <v:textbox style="mso-next-textbox:#Text Box 15">
            <w:txbxContent>
              <w:p w14:paraId="43702AC9" w14:textId="77777777" w:rsidR="00FB611F" w:rsidRPr="00D80AC6" w:rsidRDefault="00FB611F" w:rsidP="0032655B">
                <w:pPr>
                  <w:ind w:left="1276" w:hanging="1276"/>
                  <w:rPr>
                    <w:rFonts w:ascii="Arial" w:hAnsi="Arial" w:cs="Arial"/>
                    <w:sz w:val="18"/>
                    <w:szCs w:val="18"/>
                    <w:lang w:val="nn-NO"/>
                  </w:rPr>
                </w:pPr>
                <w:r w:rsidRPr="00D80AC6">
                  <w:rPr>
                    <w:rFonts w:ascii="Arial" w:hAnsi="Arial" w:cs="Arial"/>
                    <w:color w:val="336699"/>
                    <w:sz w:val="20"/>
                    <w:lang w:val="nn-NO"/>
                  </w:rPr>
                  <w:t>Postadresse:</w:t>
                </w:r>
                <w:r w:rsidRPr="00D80AC6">
                  <w:rPr>
                    <w:rFonts w:ascii="Arial" w:hAnsi="Arial" w:cs="Arial"/>
                    <w:color w:val="336699"/>
                    <w:sz w:val="20"/>
                    <w:lang w:val="nn-NO"/>
                  </w:rPr>
                  <w:tab/>
                </w:r>
                <w:r w:rsidRPr="00D80AC6">
                  <w:rPr>
                    <w:rFonts w:ascii="Arial" w:hAnsi="Arial" w:cs="Arial"/>
                    <w:sz w:val="18"/>
                    <w:szCs w:val="18"/>
                    <w:lang w:val="nn-NO"/>
                  </w:rPr>
                  <w:t>Postboks 5490 Majorstuen</w:t>
                </w:r>
                <w:r w:rsidRPr="00D80AC6">
                  <w:rPr>
                    <w:rFonts w:ascii="Arial" w:hAnsi="Arial" w:cs="Arial"/>
                    <w:sz w:val="18"/>
                    <w:szCs w:val="18"/>
                    <w:lang w:val="nn-NO"/>
                  </w:rPr>
                  <w:br/>
                </w:r>
                <w:r>
                  <w:rPr>
                    <w:rFonts w:ascii="Arial" w:hAnsi="Arial" w:cs="Arial"/>
                    <w:sz w:val="18"/>
                    <w:szCs w:val="18"/>
                    <w:lang w:val="nn-NO"/>
                  </w:rPr>
                  <w:t>|</w:t>
                </w:r>
                <w:r w:rsidRPr="00D80AC6">
                  <w:rPr>
                    <w:rFonts w:ascii="Arial" w:hAnsi="Arial" w:cs="Arial"/>
                    <w:sz w:val="18"/>
                    <w:szCs w:val="18"/>
                    <w:lang w:val="nn-NO"/>
                  </w:rPr>
                  <w:t>, Norway</w:t>
                </w:r>
              </w:p>
              <w:p w14:paraId="4126317E" w14:textId="77777777" w:rsidR="00FB611F" w:rsidRPr="00D80AC6" w:rsidRDefault="00FB611F" w:rsidP="00081397">
                <w:pPr>
                  <w:ind w:left="1695" w:hanging="1695"/>
                  <w:rPr>
                    <w:lang w:val="nn-NO"/>
                  </w:rPr>
                </w:pPr>
              </w:p>
            </w:txbxContent>
          </v:textbox>
        </v:shape>
      </w:pict>
    </w:r>
    <w:r>
      <w:rPr>
        <w:noProof/>
      </w:rPr>
      <w:pict w14:anchorId="1EF17B31">
        <v:shape id="Text Box 7" o:spid="_x0000_s2052" type="#_x0000_t202" style="position:absolute;margin-left:391.85pt;margin-top:-19.1pt;width:117.3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" filled="f" stroked="f">
          <v:textbox style="mso-next-textbox:#Text Box 7">
            <w:txbxContent>
              <w:p w14:paraId="5DDF340E" w14:textId="77777777" w:rsidR="00FB611F" w:rsidRDefault="00FB611F">
                <w:r>
                  <w:rPr>
                    <w:rFonts w:ascii="Arial" w:hAnsi="Arial" w:cs="Arial"/>
                    <w:sz w:val="18"/>
                    <w:szCs w:val="18"/>
                  </w:rPr>
                  <w:br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F034" w14:textId="77777777" w:rsidR="009D4261" w:rsidRDefault="009D4261" w:rsidP="0032655B">
      <w:r>
        <w:separator/>
      </w:r>
    </w:p>
  </w:footnote>
  <w:footnote w:type="continuationSeparator" w:id="0">
    <w:p w14:paraId="5F01BD7D" w14:textId="77777777" w:rsidR="009D4261" w:rsidRDefault="009D4261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5995E35A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EF6CAB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EF6CAB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5BA8A38C" w:rsidR="00FB611F" w:rsidRPr="00CF705C" w:rsidRDefault="6DE70122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02D88396">
          <wp:extent cx="2469515" cy="422023"/>
          <wp:effectExtent l="0" t="0" r="6985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42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C83053FC"/>
    <w:lvl w:ilvl="0" w:tplc="A672E3A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A520C9E">
      <w:numFmt w:val="decimal"/>
      <w:lvlText w:val=""/>
      <w:lvlJc w:val="left"/>
    </w:lvl>
    <w:lvl w:ilvl="2" w:tplc="517A3E28">
      <w:numFmt w:val="decimal"/>
      <w:lvlText w:val=""/>
      <w:lvlJc w:val="left"/>
    </w:lvl>
    <w:lvl w:ilvl="3" w:tplc="D65C064E">
      <w:numFmt w:val="decimal"/>
      <w:lvlText w:val=""/>
      <w:lvlJc w:val="left"/>
    </w:lvl>
    <w:lvl w:ilvl="4" w:tplc="2AEE5AEE">
      <w:numFmt w:val="decimal"/>
      <w:lvlText w:val=""/>
      <w:lvlJc w:val="left"/>
    </w:lvl>
    <w:lvl w:ilvl="5" w:tplc="C896CFF8">
      <w:numFmt w:val="decimal"/>
      <w:lvlText w:val=""/>
      <w:lvlJc w:val="left"/>
    </w:lvl>
    <w:lvl w:ilvl="6" w:tplc="09B4AD24">
      <w:numFmt w:val="decimal"/>
      <w:lvlText w:val=""/>
      <w:lvlJc w:val="left"/>
    </w:lvl>
    <w:lvl w:ilvl="7" w:tplc="DB04A054">
      <w:numFmt w:val="decimal"/>
      <w:lvlText w:val=""/>
      <w:lvlJc w:val="left"/>
    </w:lvl>
    <w:lvl w:ilvl="8" w:tplc="4B1E33E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8F6579E"/>
    <w:lvl w:ilvl="0" w:tplc="922880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3269AC">
      <w:numFmt w:val="decimal"/>
      <w:lvlText w:val=""/>
      <w:lvlJc w:val="left"/>
    </w:lvl>
    <w:lvl w:ilvl="2" w:tplc="58868AC0">
      <w:numFmt w:val="decimal"/>
      <w:lvlText w:val=""/>
      <w:lvlJc w:val="left"/>
    </w:lvl>
    <w:lvl w:ilvl="3" w:tplc="5AD2ACE8">
      <w:numFmt w:val="decimal"/>
      <w:lvlText w:val=""/>
      <w:lvlJc w:val="left"/>
    </w:lvl>
    <w:lvl w:ilvl="4" w:tplc="C11CCAFA">
      <w:numFmt w:val="decimal"/>
      <w:lvlText w:val=""/>
      <w:lvlJc w:val="left"/>
    </w:lvl>
    <w:lvl w:ilvl="5" w:tplc="7A4AEB1A">
      <w:numFmt w:val="decimal"/>
      <w:lvlText w:val=""/>
      <w:lvlJc w:val="left"/>
    </w:lvl>
    <w:lvl w:ilvl="6" w:tplc="0464F442">
      <w:numFmt w:val="decimal"/>
      <w:lvlText w:val=""/>
      <w:lvlJc w:val="left"/>
    </w:lvl>
    <w:lvl w:ilvl="7" w:tplc="298E7BFC">
      <w:numFmt w:val="decimal"/>
      <w:lvlText w:val=""/>
      <w:lvlJc w:val="left"/>
    </w:lvl>
    <w:lvl w:ilvl="8" w:tplc="E1841F9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1304D52"/>
    <w:lvl w:ilvl="0" w:tplc="52E8025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5B047D2">
      <w:numFmt w:val="decimal"/>
      <w:lvlText w:val=""/>
      <w:lvlJc w:val="left"/>
    </w:lvl>
    <w:lvl w:ilvl="2" w:tplc="8FE85DA4">
      <w:numFmt w:val="decimal"/>
      <w:lvlText w:val=""/>
      <w:lvlJc w:val="left"/>
    </w:lvl>
    <w:lvl w:ilvl="3" w:tplc="B5B21B86">
      <w:numFmt w:val="decimal"/>
      <w:lvlText w:val=""/>
      <w:lvlJc w:val="left"/>
    </w:lvl>
    <w:lvl w:ilvl="4" w:tplc="3726164E">
      <w:numFmt w:val="decimal"/>
      <w:lvlText w:val=""/>
      <w:lvlJc w:val="left"/>
    </w:lvl>
    <w:lvl w:ilvl="5" w:tplc="0FCC667E">
      <w:numFmt w:val="decimal"/>
      <w:lvlText w:val=""/>
      <w:lvlJc w:val="left"/>
    </w:lvl>
    <w:lvl w:ilvl="6" w:tplc="850243BC">
      <w:numFmt w:val="decimal"/>
      <w:lvlText w:val=""/>
      <w:lvlJc w:val="left"/>
    </w:lvl>
    <w:lvl w:ilvl="7" w:tplc="CE86A58C">
      <w:numFmt w:val="decimal"/>
      <w:lvlText w:val=""/>
      <w:lvlJc w:val="left"/>
    </w:lvl>
    <w:lvl w:ilvl="8" w:tplc="67C2FEA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5E1E2782"/>
    <w:lvl w:ilvl="0" w:tplc="3DF66D9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9E65440">
      <w:numFmt w:val="decimal"/>
      <w:lvlText w:val=""/>
      <w:lvlJc w:val="left"/>
    </w:lvl>
    <w:lvl w:ilvl="2" w:tplc="77FA1124">
      <w:numFmt w:val="decimal"/>
      <w:lvlText w:val=""/>
      <w:lvlJc w:val="left"/>
    </w:lvl>
    <w:lvl w:ilvl="3" w:tplc="DA908A2E">
      <w:numFmt w:val="decimal"/>
      <w:lvlText w:val=""/>
      <w:lvlJc w:val="left"/>
    </w:lvl>
    <w:lvl w:ilvl="4" w:tplc="78C81B62">
      <w:numFmt w:val="decimal"/>
      <w:lvlText w:val=""/>
      <w:lvlJc w:val="left"/>
    </w:lvl>
    <w:lvl w:ilvl="5" w:tplc="C58298E6">
      <w:numFmt w:val="decimal"/>
      <w:lvlText w:val=""/>
      <w:lvlJc w:val="left"/>
    </w:lvl>
    <w:lvl w:ilvl="6" w:tplc="362A52F6">
      <w:numFmt w:val="decimal"/>
      <w:lvlText w:val=""/>
      <w:lvlJc w:val="left"/>
    </w:lvl>
    <w:lvl w:ilvl="7" w:tplc="1C66C7C6">
      <w:numFmt w:val="decimal"/>
      <w:lvlText w:val=""/>
      <w:lvlJc w:val="left"/>
    </w:lvl>
    <w:lvl w:ilvl="8" w:tplc="A5FE6CC2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21D92"/>
    <w:multiLevelType w:val="hybridMultilevel"/>
    <w:tmpl w:val="254644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59035F"/>
    <w:multiLevelType w:val="hybridMultilevel"/>
    <w:tmpl w:val="13D651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5C5A85"/>
    <w:multiLevelType w:val="hybridMultilevel"/>
    <w:tmpl w:val="022A45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BC5C64"/>
    <w:multiLevelType w:val="hybridMultilevel"/>
    <w:tmpl w:val="6316C5C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2AED7B0E"/>
    <w:multiLevelType w:val="hybridMultilevel"/>
    <w:tmpl w:val="57302C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367D24B6"/>
    <w:multiLevelType w:val="hybridMultilevel"/>
    <w:tmpl w:val="48B83D50"/>
    <w:lvl w:ilvl="0" w:tplc="E1C26342">
      <w:numFmt w:val="bullet"/>
      <w:lvlText w:val=""/>
      <w:lvlJc w:val="left"/>
      <w:pPr>
        <w:ind w:left="720" w:hanging="360"/>
      </w:pPr>
      <w:rPr>
        <w:rFonts w:ascii="Symbol" w:eastAsia="Symbol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9A5EBF"/>
    <w:multiLevelType w:val="hybridMultilevel"/>
    <w:tmpl w:val="FFFFFFFF"/>
    <w:lvl w:ilvl="0" w:tplc="FCFA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4E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0E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E047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E2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4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E8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29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2D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B6ECF"/>
    <w:multiLevelType w:val="hybridMultilevel"/>
    <w:tmpl w:val="FFFFFFFF"/>
    <w:lvl w:ilvl="0" w:tplc="B5365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8E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69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60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C9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2A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4E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C5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985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E6C7A"/>
    <w:multiLevelType w:val="hybridMultilevel"/>
    <w:tmpl w:val="956A964E"/>
    <w:lvl w:ilvl="0" w:tplc="425875AA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9EE07954">
      <w:numFmt w:val="bullet"/>
      <w:lvlText w:val="-"/>
      <w:lvlJc w:val="left"/>
      <w:pPr>
        <w:ind w:left="2133" w:hanging="705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B3718"/>
    <w:multiLevelType w:val="hybridMultilevel"/>
    <w:tmpl w:val="72CA0FAA"/>
    <w:lvl w:ilvl="0" w:tplc="F2E284D6">
      <w:numFmt w:val="bullet"/>
      <w:lvlText w:val="-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E35801"/>
    <w:multiLevelType w:val="hybridMultilevel"/>
    <w:tmpl w:val="EA9E2E4A"/>
    <w:lvl w:ilvl="0" w:tplc="425875AA">
      <w:numFmt w:val="bullet"/>
      <w:lvlText w:val="•"/>
      <w:lvlJc w:val="left"/>
      <w:pPr>
        <w:ind w:left="2121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9EC22FB"/>
    <w:multiLevelType w:val="hybridMultilevel"/>
    <w:tmpl w:val="1834FEEE"/>
    <w:lvl w:ilvl="0" w:tplc="87AC37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6844E5"/>
    <w:multiLevelType w:val="hybridMultilevel"/>
    <w:tmpl w:val="A7249874"/>
    <w:lvl w:ilvl="0" w:tplc="87AC373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94C15"/>
    <w:multiLevelType w:val="hybridMultilevel"/>
    <w:tmpl w:val="FEB28BE6"/>
    <w:lvl w:ilvl="0" w:tplc="425875A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3D14B3F"/>
    <w:multiLevelType w:val="hybridMultilevel"/>
    <w:tmpl w:val="583C8FB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7272C"/>
    <w:multiLevelType w:val="hybridMultilevel"/>
    <w:tmpl w:val="E3DC27D0"/>
    <w:lvl w:ilvl="0" w:tplc="425875AA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8523223"/>
    <w:multiLevelType w:val="hybridMultilevel"/>
    <w:tmpl w:val="91B2C246"/>
    <w:lvl w:ilvl="0" w:tplc="425875AA">
      <w:numFmt w:val="bullet"/>
      <w:lvlText w:val="•"/>
      <w:lvlJc w:val="left"/>
      <w:pPr>
        <w:ind w:left="1413" w:hanging="705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B193E28"/>
    <w:multiLevelType w:val="hybridMultilevel"/>
    <w:tmpl w:val="A2ECC0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3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1"/>
  </w:num>
  <w:num w:numId="16">
    <w:abstractNumId w:val="22"/>
  </w:num>
  <w:num w:numId="17">
    <w:abstractNumId w:val="12"/>
  </w:num>
  <w:num w:numId="18">
    <w:abstractNumId w:val="29"/>
  </w:num>
  <w:num w:numId="19">
    <w:abstractNumId w:val="27"/>
  </w:num>
  <w:num w:numId="20">
    <w:abstractNumId w:val="40"/>
  </w:num>
  <w:num w:numId="21">
    <w:abstractNumId w:val="23"/>
  </w:num>
  <w:num w:numId="22">
    <w:abstractNumId w:val="11"/>
  </w:num>
  <w:num w:numId="23">
    <w:abstractNumId w:val="13"/>
  </w:num>
  <w:num w:numId="24">
    <w:abstractNumId w:val="16"/>
  </w:num>
  <w:num w:numId="25">
    <w:abstractNumId w:val="36"/>
  </w:num>
  <w:num w:numId="26">
    <w:abstractNumId w:val="17"/>
  </w:num>
  <w:num w:numId="27">
    <w:abstractNumId w:val="31"/>
  </w:num>
  <w:num w:numId="28">
    <w:abstractNumId w:val="25"/>
  </w:num>
  <w:num w:numId="29">
    <w:abstractNumId w:val="24"/>
  </w:num>
  <w:num w:numId="30">
    <w:abstractNumId w:val="26"/>
  </w:num>
  <w:num w:numId="31">
    <w:abstractNumId w:val="34"/>
  </w:num>
  <w:num w:numId="32">
    <w:abstractNumId w:val="35"/>
  </w:num>
  <w:num w:numId="33">
    <w:abstractNumId w:val="21"/>
  </w:num>
  <w:num w:numId="34">
    <w:abstractNumId w:val="44"/>
  </w:num>
  <w:num w:numId="35">
    <w:abstractNumId w:val="10"/>
  </w:num>
  <w:num w:numId="36">
    <w:abstractNumId w:val="18"/>
  </w:num>
  <w:num w:numId="37">
    <w:abstractNumId w:val="14"/>
  </w:num>
  <w:num w:numId="38">
    <w:abstractNumId w:val="43"/>
  </w:num>
  <w:num w:numId="39">
    <w:abstractNumId w:val="33"/>
  </w:num>
  <w:num w:numId="40">
    <w:abstractNumId w:val="32"/>
  </w:num>
  <w:num w:numId="41">
    <w:abstractNumId w:val="28"/>
  </w:num>
  <w:num w:numId="42">
    <w:abstractNumId w:val="42"/>
  </w:num>
  <w:num w:numId="43">
    <w:abstractNumId w:val="38"/>
  </w:num>
  <w:num w:numId="44">
    <w:abstractNumId w:val="1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ABF"/>
    <w:rsid w:val="000029B6"/>
    <w:rsid w:val="0000470F"/>
    <w:rsid w:val="00004EA5"/>
    <w:rsid w:val="00005293"/>
    <w:rsid w:val="000058DB"/>
    <w:rsid w:val="00014B3B"/>
    <w:rsid w:val="00014D7F"/>
    <w:rsid w:val="000155D2"/>
    <w:rsid w:val="000212AC"/>
    <w:rsid w:val="00027FA1"/>
    <w:rsid w:val="00033473"/>
    <w:rsid w:val="00033637"/>
    <w:rsid w:val="00051E12"/>
    <w:rsid w:val="00052912"/>
    <w:rsid w:val="000606B2"/>
    <w:rsid w:val="000607CF"/>
    <w:rsid w:val="00065EE6"/>
    <w:rsid w:val="00071D36"/>
    <w:rsid w:val="00075918"/>
    <w:rsid w:val="00081397"/>
    <w:rsid w:val="00091C09"/>
    <w:rsid w:val="000924C4"/>
    <w:rsid w:val="00096085"/>
    <w:rsid w:val="000A0D28"/>
    <w:rsid w:val="000A2153"/>
    <w:rsid w:val="000A29BF"/>
    <w:rsid w:val="000A2CE4"/>
    <w:rsid w:val="000A2CEA"/>
    <w:rsid w:val="000A35D1"/>
    <w:rsid w:val="000A3CAE"/>
    <w:rsid w:val="000A4B4A"/>
    <w:rsid w:val="000B178F"/>
    <w:rsid w:val="000C2065"/>
    <w:rsid w:val="000C3381"/>
    <w:rsid w:val="000C4238"/>
    <w:rsid w:val="000C64F9"/>
    <w:rsid w:val="000C6E88"/>
    <w:rsid w:val="000D1713"/>
    <w:rsid w:val="000D5765"/>
    <w:rsid w:val="000E06FD"/>
    <w:rsid w:val="000F1C16"/>
    <w:rsid w:val="000F4CC6"/>
    <w:rsid w:val="00101164"/>
    <w:rsid w:val="00107266"/>
    <w:rsid w:val="00116808"/>
    <w:rsid w:val="001204B5"/>
    <w:rsid w:val="001324E2"/>
    <w:rsid w:val="001353E0"/>
    <w:rsid w:val="001415EB"/>
    <w:rsid w:val="0014277E"/>
    <w:rsid w:val="00142E05"/>
    <w:rsid w:val="00150508"/>
    <w:rsid w:val="00152742"/>
    <w:rsid w:val="001529D4"/>
    <w:rsid w:val="001533EC"/>
    <w:rsid w:val="00157BCE"/>
    <w:rsid w:val="00157FEA"/>
    <w:rsid w:val="00163EF6"/>
    <w:rsid w:val="00171FD1"/>
    <w:rsid w:val="00175884"/>
    <w:rsid w:val="0017728E"/>
    <w:rsid w:val="00191DD1"/>
    <w:rsid w:val="00192819"/>
    <w:rsid w:val="00194ADE"/>
    <w:rsid w:val="001970B5"/>
    <w:rsid w:val="001A1978"/>
    <w:rsid w:val="001A4F49"/>
    <w:rsid w:val="001A5DA8"/>
    <w:rsid w:val="001A7989"/>
    <w:rsid w:val="001B064E"/>
    <w:rsid w:val="001C77F7"/>
    <w:rsid w:val="001D10FE"/>
    <w:rsid w:val="001D3BD3"/>
    <w:rsid w:val="001D48C5"/>
    <w:rsid w:val="001E20B8"/>
    <w:rsid w:val="001E47FC"/>
    <w:rsid w:val="001E63B1"/>
    <w:rsid w:val="001F55E1"/>
    <w:rsid w:val="00200731"/>
    <w:rsid w:val="00200F2B"/>
    <w:rsid w:val="00206B48"/>
    <w:rsid w:val="00220BC5"/>
    <w:rsid w:val="0022618A"/>
    <w:rsid w:val="002327C4"/>
    <w:rsid w:val="00232D33"/>
    <w:rsid w:val="00237142"/>
    <w:rsid w:val="00237B82"/>
    <w:rsid w:val="0025333E"/>
    <w:rsid w:val="002607BC"/>
    <w:rsid w:val="00260FC2"/>
    <w:rsid w:val="00262E46"/>
    <w:rsid w:val="0026750C"/>
    <w:rsid w:val="00267735"/>
    <w:rsid w:val="00272838"/>
    <w:rsid w:val="00282FFF"/>
    <w:rsid w:val="002834EE"/>
    <w:rsid w:val="00283783"/>
    <w:rsid w:val="00284B40"/>
    <w:rsid w:val="00284E8B"/>
    <w:rsid w:val="00287FE5"/>
    <w:rsid w:val="00290EEF"/>
    <w:rsid w:val="00291347"/>
    <w:rsid w:val="00291EF0"/>
    <w:rsid w:val="00293FA0"/>
    <w:rsid w:val="002956BE"/>
    <w:rsid w:val="002A5DE3"/>
    <w:rsid w:val="002E1E38"/>
    <w:rsid w:val="002E41BB"/>
    <w:rsid w:val="002E450F"/>
    <w:rsid w:val="002E666E"/>
    <w:rsid w:val="002F72BA"/>
    <w:rsid w:val="00304409"/>
    <w:rsid w:val="00305E09"/>
    <w:rsid w:val="00314007"/>
    <w:rsid w:val="00321CF6"/>
    <w:rsid w:val="00324E4E"/>
    <w:rsid w:val="00325D8E"/>
    <w:rsid w:val="0032655B"/>
    <w:rsid w:val="00330695"/>
    <w:rsid w:val="00337E94"/>
    <w:rsid w:val="00343262"/>
    <w:rsid w:val="0034455A"/>
    <w:rsid w:val="00346FF9"/>
    <w:rsid w:val="00347E53"/>
    <w:rsid w:val="003546D8"/>
    <w:rsid w:val="00364017"/>
    <w:rsid w:val="003741C0"/>
    <w:rsid w:val="00382B75"/>
    <w:rsid w:val="003864BC"/>
    <w:rsid w:val="00386AF0"/>
    <w:rsid w:val="003902AE"/>
    <w:rsid w:val="0039475C"/>
    <w:rsid w:val="0039671A"/>
    <w:rsid w:val="0039774B"/>
    <w:rsid w:val="003A2895"/>
    <w:rsid w:val="003A2EE8"/>
    <w:rsid w:val="003A3FB5"/>
    <w:rsid w:val="003B262C"/>
    <w:rsid w:val="003C04E3"/>
    <w:rsid w:val="003C146A"/>
    <w:rsid w:val="003D3682"/>
    <w:rsid w:val="003D63D9"/>
    <w:rsid w:val="003E33D1"/>
    <w:rsid w:val="003E3477"/>
    <w:rsid w:val="003E5690"/>
    <w:rsid w:val="003E6FEB"/>
    <w:rsid w:val="003F12AD"/>
    <w:rsid w:val="004040AB"/>
    <w:rsid w:val="004056E1"/>
    <w:rsid w:val="00407B04"/>
    <w:rsid w:val="00410EB6"/>
    <w:rsid w:val="00411DFE"/>
    <w:rsid w:val="004133F2"/>
    <w:rsid w:val="004171CD"/>
    <w:rsid w:val="00423C3B"/>
    <w:rsid w:val="00426427"/>
    <w:rsid w:val="00430FD4"/>
    <w:rsid w:val="00432A73"/>
    <w:rsid w:val="00433969"/>
    <w:rsid w:val="00440B75"/>
    <w:rsid w:val="0044291F"/>
    <w:rsid w:val="004451F0"/>
    <w:rsid w:val="0045394F"/>
    <w:rsid w:val="00456638"/>
    <w:rsid w:val="0045730F"/>
    <w:rsid w:val="0045733F"/>
    <w:rsid w:val="0046426A"/>
    <w:rsid w:val="004732CA"/>
    <w:rsid w:val="00481921"/>
    <w:rsid w:val="00482326"/>
    <w:rsid w:val="00483C1F"/>
    <w:rsid w:val="00493B33"/>
    <w:rsid w:val="00495C6E"/>
    <w:rsid w:val="004963BB"/>
    <w:rsid w:val="004A6E6C"/>
    <w:rsid w:val="004B4F9D"/>
    <w:rsid w:val="004C1811"/>
    <w:rsid w:val="004C209C"/>
    <w:rsid w:val="004C5D19"/>
    <w:rsid w:val="004D0583"/>
    <w:rsid w:val="004D2FD5"/>
    <w:rsid w:val="004E1120"/>
    <w:rsid w:val="004E4017"/>
    <w:rsid w:val="004F703C"/>
    <w:rsid w:val="00501802"/>
    <w:rsid w:val="0050387C"/>
    <w:rsid w:val="0050534D"/>
    <w:rsid w:val="005064EE"/>
    <w:rsid w:val="00506E4F"/>
    <w:rsid w:val="00511B8C"/>
    <w:rsid w:val="00514054"/>
    <w:rsid w:val="0051432C"/>
    <w:rsid w:val="00524A3C"/>
    <w:rsid w:val="00526FCF"/>
    <w:rsid w:val="00536B49"/>
    <w:rsid w:val="00544A76"/>
    <w:rsid w:val="0055720C"/>
    <w:rsid w:val="005604D6"/>
    <w:rsid w:val="0057182D"/>
    <w:rsid w:val="00582E21"/>
    <w:rsid w:val="005869B3"/>
    <w:rsid w:val="00592497"/>
    <w:rsid w:val="005927B3"/>
    <w:rsid w:val="00597104"/>
    <w:rsid w:val="005975AB"/>
    <w:rsid w:val="00597B2B"/>
    <w:rsid w:val="005B0C69"/>
    <w:rsid w:val="005B1236"/>
    <w:rsid w:val="005B28B5"/>
    <w:rsid w:val="005B5679"/>
    <w:rsid w:val="005B5955"/>
    <w:rsid w:val="005C6C92"/>
    <w:rsid w:val="005C7D27"/>
    <w:rsid w:val="005D21E2"/>
    <w:rsid w:val="005E332A"/>
    <w:rsid w:val="005F2009"/>
    <w:rsid w:val="00602164"/>
    <w:rsid w:val="00620CF7"/>
    <w:rsid w:val="00622DB3"/>
    <w:rsid w:val="00623851"/>
    <w:rsid w:val="00624EA5"/>
    <w:rsid w:val="006260C3"/>
    <w:rsid w:val="006270D2"/>
    <w:rsid w:val="00635B2D"/>
    <w:rsid w:val="006401DF"/>
    <w:rsid w:val="00646028"/>
    <w:rsid w:val="006531B1"/>
    <w:rsid w:val="00657284"/>
    <w:rsid w:val="006613C4"/>
    <w:rsid w:val="00662CEF"/>
    <w:rsid w:val="00663C70"/>
    <w:rsid w:val="00664D32"/>
    <w:rsid w:val="006657E6"/>
    <w:rsid w:val="00672077"/>
    <w:rsid w:val="006757C7"/>
    <w:rsid w:val="006770FA"/>
    <w:rsid w:val="00691512"/>
    <w:rsid w:val="00697BAC"/>
    <w:rsid w:val="00697DD6"/>
    <w:rsid w:val="006A6914"/>
    <w:rsid w:val="006C142E"/>
    <w:rsid w:val="006C3364"/>
    <w:rsid w:val="006C5BDD"/>
    <w:rsid w:val="006D2CC9"/>
    <w:rsid w:val="006D6A58"/>
    <w:rsid w:val="006E347A"/>
    <w:rsid w:val="006E4CFA"/>
    <w:rsid w:val="006E7A40"/>
    <w:rsid w:val="006F0064"/>
    <w:rsid w:val="006F0AF5"/>
    <w:rsid w:val="006F2704"/>
    <w:rsid w:val="006F312B"/>
    <w:rsid w:val="006F49B0"/>
    <w:rsid w:val="006F7EA7"/>
    <w:rsid w:val="00702155"/>
    <w:rsid w:val="0070595F"/>
    <w:rsid w:val="00707F81"/>
    <w:rsid w:val="00720C62"/>
    <w:rsid w:val="007342BB"/>
    <w:rsid w:val="00734867"/>
    <w:rsid w:val="00741388"/>
    <w:rsid w:val="00742A02"/>
    <w:rsid w:val="007503F0"/>
    <w:rsid w:val="00750C82"/>
    <w:rsid w:val="007520F3"/>
    <w:rsid w:val="007640D9"/>
    <w:rsid w:val="0076439D"/>
    <w:rsid w:val="00777390"/>
    <w:rsid w:val="00782446"/>
    <w:rsid w:val="00782B89"/>
    <w:rsid w:val="00784AC9"/>
    <w:rsid w:val="00786DAC"/>
    <w:rsid w:val="007A30FD"/>
    <w:rsid w:val="007A434E"/>
    <w:rsid w:val="007B5C8E"/>
    <w:rsid w:val="007C00B3"/>
    <w:rsid w:val="007C45D2"/>
    <w:rsid w:val="007C553D"/>
    <w:rsid w:val="007E0539"/>
    <w:rsid w:val="007E2C6B"/>
    <w:rsid w:val="007E66B8"/>
    <w:rsid w:val="007F3227"/>
    <w:rsid w:val="007F3FB0"/>
    <w:rsid w:val="007F5345"/>
    <w:rsid w:val="00801EB3"/>
    <w:rsid w:val="00803F4F"/>
    <w:rsid w:val="00806BDE"/>
    <w:rsid w:val="00820304"/>
    <w:rsid w:val="008217C5"/>
    <w:rsid w:val="00822933"/>
    <w:rsid w:val="00823026"/>
    <w:rsid w:val="008305EA"/>
    <w:rsid w:val="0084088B"/>
    <w:rsid w:val="00842154"/>
    <w:rsid w:val="00846BB8"/>
    <w:rsid w:val="00866D8B"/>
    <w:rsid w:val="00866D98"/>
    <w:rsid w:val="00874D10"/>
    <w:rsid w:val="0087530F"/>
    <w:rsid w:val="00876E64"/>
    <w:rsid w:val="008800B7"/>
    <w:rsid w:val="008805DA"/>
    <w:rsid w:val="00880DB4"/>
    <w:rsid w:val="00884CDC"/>
    <w:rsid w:val="00885632"/>
    <w:rsid w:val="00891E21"/>
    <w:rsid w:val="008A3B6E"/>
    <w:rsid w:val="008A3F5F"/>
    <w:rsid w:val="008A4ED1"/>
    <w:rsid w:val="008B5574"/>
    <w:rsid w:val="008C03B0"/>
    <w:rsid w:val="008D623E"/>
    <w:rsid w:val="008D73CF"/>
    <w:rsid w:val="008D7A74"/>
    <w:rsid w:val="008E3280"/>
    <w:rsid w:val="008F0095"/>
    <w:rsid w:val="008F2DE5"/>
    <w:rsid w:val="008F417D"/>
    <w:rsid w:val="008F666E"/>
    <w:rsid w:val="00902D58"/>
    <w:rsid w:val="0091162D"/>
    <w:rsid w:val="00912A01"/>
    <w:rsid w:val="00912C44"/>
    <w:rsid w:val="00915BBB"/>
    <w:rsid w:val="00916728"/>
    <w:rsid w:val="00923CB1"/>
    <w:rsid w:val="009259BB"/>
    <w:rsid w:val="009259E0"/>
    <w:rsid w:val="00936BEF"/>
    <w:rsid w:val="00941175"/>
    <w:rsid w:val="0094783C"/>
    <w:rsid w:val="0095040A"/>
    <w:rsid w:val="00952AF5"/>
    <w:rsid w:val="00955A50"/>
    <w:rsid w:val="0095652D"/>
    <w:rsid w:val="009750FC"/>
    <w:rsid w:val="009758D4"/>
    <w:rsid w:val="00991667"/>
    <w:rsid w:val="00994317"/>
    <w:rsid w:val="00996938"/>
    <w:rsid w:val="009A11A6"/>
    <w:rsid w:val="009A2161"/>
    <w:rsid w:val="009A4485"/>
    <w:rsid w:val="009A631B"/>
    <w:rsid w:val="009B1FCD"/>
    <w:rsid w:val="009C022B"/>
    <w:rsid w:val="009D1DEA"/>
    <w:rsid w:val="009D4261"/>
    <w:rsid w:val="009D4840"/>
    <w:rsid w:val="009D7E76"/>
    <w:rsid w:val="009E07F1"/>
    <w:rsid w:val="009E3602"/>
    <w:rsid w:val="009E3C12"/>
    <w:rsid w:val="009F54A3"/>
    <w:rsid w:val="009F78A1"/>
    <w:rsid w:val="00A1155C"/>
    <w:rsid w:val="00A14AA3"/>
    <w:rsid w:val="00A17868"/>
    <w:rsid w:val="00A22431"/>
    <w:rsid w:val="00A25B4A"/>
    <w:rsid w:val="00A42E11"/>
    <w:rsid w:val="00A42EB2"/>
    <w:rsid w:val="00A54406"/>
    <w:rsid w:val="00A647EC"/>
    <w:rsid w:val="00A650A4"/>
    <w:rsid w:val="00A738CF"/>
    <w:rsid w:val="00A73CDA"/>
    <w:rsid w:val="00A74959"/>
    <w:rsid w:val="00A75EAF"/>
    <w:rsid w:val="00A8443F"/>
    <w:rsid w:val="00A94B58"/>
    <w:rsid w:val="00AA471D"/>
    <w:rsid w:val="00AB3066"/>
    <w:rsid w:val="00AC06CF"/>
    <w:rsid w:val="00AC1704"/>
    <w:rsid w:val="00AC1847"/>
    <w:rsid w:val="00AC3909"/>
    <w:rsid w:val="00AC66A7"/>
    <w:rsid w:val="00AC7834"/>
    <w:rsid w:val="00AD2A59"/>
    <w:rsid w:val="00AD2E9F"/>
    <w:rsid w:val="00AD58F0"/>
    <w:rsid w:val="00AE0633"/>
    <w:rsid w:val="00AE5638"/>
    <w:rsid w:val="00AF39E1"/>
    <w:rsid w:val="00AF50C4"/>
    <w:rsid w:val="00AF5ABF"/>
    <w:rsid w:val="00AF7941"/>
    <w:rsid w:val="00B01C09"/>
    <w:rsid w:val="00B04462"/>
    <w:rsid w:val="00B05977"/>
    <w:rsid w:val="00B0615B"/>
    <w:rsid w:val="00B13CD3"/>
    <w:rsid w:val="00B14162"/>
    <w:rsid w:val="00B17484"/>
    <w:rsid w:val="00B30547"/>
    <w:rsid w:val="00B338D6"/>
    <w:rsid w:val="00B463B8"/>
    <w:rsid w:val="00B47A01"/>
    <w:rsid w:val="00B50B90"/>
    <w:rsid w:val="00B57D39"/>
    <w:rsid w:val="00B63AF8"/>
    <w:rsid w:val="00B63E13"/>
    <w:rsid w:val="00B72637"/>
    <w:rsid w:val="00B74F43"/>
    <w:rsid w:val="00B807F8"/>
    <w:rsid w:val="00B85050"/>
    <w:rsid w:val="00B91019"/>
    <w:rsid w:val="00B922F1"/>
    <w:rsid w:val="00BA37D0"/>
    <w:rsid w:val="00BA5DF2"/>
    <w:rsid w:val="00BB144C"/>
    <w:rsid w:val="00BB2D4F"/>
    <w:rsid w:val="00BC7AA7"/>
    <w:rsid w:val="00BD180D"/>
    <w:rsid w:val="00BD350B"/>
    <w:rsid w:val="00BD7354"/>
    <w:rsid w:val="00BE10AF"/>
    <w:rsid w:val="00BE2230"/>
    <w:rsid w:val="00BF3FD8"/>
    <w:rsid w:val="00BF6840"/>
    <w:rsid w:val="00C00979"/>
    <w:rsid w:val="00C011FC"/>
    <w:rsid w:val="00C05D61"/>
    <w:rsid w:val="00C07CE3"/>
    <w:rsid w:val="00C11079"/>
    <w:rsid w:val="00C138AA"/>
    <w:rsid w:val="00C32DB3"/>
    <w:rsid w:val="00C36E5A"/>
    <w:rsid w:val="00C40331"/>
    <w:rsid w:val="00C65343"/>
    <w:rsid w:val="00C673EB"/>
    <w:rsid w:val="00C67F87"/>
    <w:rsid w:val="00C80F3C"/>
    <w:rsid w:val="00C817A4"/>
    <w:rsid w:val="00C90F55"/>
    <w:rsid w:val="00CA485F"/>
    <w:rsid w:val="00CB07B3"/>
    <w:rsid w:val="00CB0ADB"/>
    <w:rsid w:val="00CB1ED3"/>
    <w:rsid w:val="00CB3B47"/>
    <w:rsid w:val="00CB6F53"/>
    <w:rsid w:val="00CC0E70"/>
    <w:rsid w:val="00CC5D38"/>
    <w:rsid w:val="00CD04C9"/>
    <w:rsid w:val="00CD0AE1"/>
    <w:rsid w:val="00CD5088"/>
    <w:rsid w:val="00CE2C99"/>
    <w:rsid w:val="00CE3775"/>
    <w:rsid w:val="00CF08E9"/>
    <w:rsid w:val="00CF30C5"/>
    <w:rsid w:val="00CF4019"/>
    <w:rsid w:val="00CF4DEB"/>
    <w:rsid w:val="00CF6826"/>
    <w:rsid w:val="00CF705C"/>
    <w:rsid w:val="00D13E3B"/>
    <w:rsid w:val="00D16F64"/>
    <w:rsid w:val="00D17606"/>
    <w:rsid w:val="00D31C4C"/>
    <w:rsid w:val="00D35DE2"/>
    <w:rsid w:val="00D40863"/>
    <w:rsid w:val="00D421C4"/>
    <w:rsid w:val="00D4450A"/>
    <w:rsid w:val="00D46ED0"/>
    <w:rsid w:val="00D5069E"/>
    <w:rsid w:val="00D55F7D"/>
    <w:rsid w:val="00D5765A"/>
    <w:rsid w:val="00D614B2"/>
    <w:rsid w:val="00D63FAC"/>
    <w:rsid w:val="00D649B3"/>
    <w:rsid w:val="00D673F7"/>
    <w:rsid w:val="00D71429"/>
    <w:rsid w:val="00D72A6E"/>
    <w:rsid w:val="00D74F81"/>
    <w:rsid w:val="00D76724"/>
    <w:rsid w:val="00D77983"/>
    <w:rsid w:val="00D909E3"/>
    <w:rsid w:val="00D932FD"/>
    <w:rsid w:val="00DA3E43"/>
    <w:rsid w:val="00DA513A"/>
    <w:rsid w:val="00DA684D"/>
    <w:rsid w:val="00DB2EFF"/>
    <w:rsid w:val="00DB33FD"/>
    <w:rsid w:val="00DC7ED7"/>
    <w:rsid w:val="00DD1434"/>
    <w:rsid w:val="00DD1B8F"/>
    <w:rsid w:val="00DE2BFE"/>
    <w:rsid w:val="00DE70E3"/>
    <w:rsid w:val="00DE7F10"/>
    <w:rsid w:val="00DF02FF"/>
    <w:rsid w:val="00DF4E6F"/>
    <w:rsid w:val="00E013CE"/>
    <w:rsid w:val="00E02E71"/>
    <w:rsid w:val="00E10839"/>
    <w:rsid w:val="00E13B70"/>
    <w:rsid w:val="00E14893"/>
    <w:rsid w:val="00E15111"/>
    <w:rsid w:val="00E16947"/>
    <w:rsid w:val="00E20025"/>
    <w:rsid w:val="00E21232"/>
    <w:rsid w:val="00E30E96"/>
    <w:rsid w:val="00E36906"/>
    <w:rsid w:val="00E469C5"/>
    <w:rsid w:val="00E510BA"/>
    <w:rsid w:val="00E53C4D"/>
    <w:rsid w:val="00E56829"/>
    <w:rsid w:val="00E5789A"/>
    <w:rsid w:val="00E61B4F"/>
    <w:rsid w:val="00E65A9E"/>
    <w:rsid w:val="00E72F4E"/>
    <w:rsid w:val="00E749E1"/>
    <w:rsid w:val="00E90653"/>
    <w:rsid w:val="00E907D5"/>
    <w:rsid w:val="00EA4512"/>
    <w:rsid w:val="00EA5214"/>
    <w:rsid w:val="00EB07F5"/>
    <w:rsid w:val="00EB1D4A"/>
    <w:rsid w:val="00EB3A4A"/>
    <w:rsid w:val="00EB685D"/>
    <w:rsid w:val="00EB70E0"/>
    <w:rsid w:val="00EB7961"/>
    <w:rsid w:val="00EB7C04"/>
    <w:rsid w:val="00EB7F3F"/>
    <w:rsid w:val="00EC3593"/>
    <w:rsid w:val="00EC3AD0"/>
    <w:rsid w:val="00ED206D"/>
    <w:rsid w:val="00EE12D8"/>
    <w:rsid w:val="00EE229D"/>
    <w:rsid w:val="00EE4518"/>
    <w:rsid w:val="00EE5D39"/>
    <w:rsid w:val="00EE7D9D"/>
    <w:rsid w:val="00EF1E10"/>
    <w:rsid w:val="00EF339E"/>
    <w:rsid w:val="00EF6CAB"/>
    <w:rsid w:val="00EF764A"/>
    <w:rsid w:val="00F01A42"/>
    <w:rsid w:val="00F02D39"/>
    <w:rsid w:val="00F03C5E"/>
    <w:rsid w:val="00F04FB7"/>
    <w:rsid w:val="00F1447B"/>
    <w:rsid w:val="00F213E7"/>
    <w:rsid w:val="00F23B77"/>
    <w:rsid w:val="00F2745D"/>
    <w:rsid w:val="00F430EB"/>
    <w:rsid w:val="00F440A3"/>
    <w:rsid w:val="00F44D1B"/>
    <w:rsid w:val="00F470E5"/>
    <w:rsid w:val="00F531EA"/>
    <w:rsid w:val="00F57655"/>
    <w:rsid w:val="00F60B43"/>
    <w:rsid w:val="00F65EF3"/>
    <w:rsid w:val="00F6609B"/>
    <w:rsid w:val="00F70703"/>
    <w:rsid w:val="00F82F41"/>
    <w:rsid w:val="00F91254"/>
    <w:rsid w:val="00F9307A"/>
    <w:rsid w:val="00F9340B"/>
    <w:rsid w:val="00F9630B"/>
    <w:rsid w:val="00FA5BA7"/>
    <w:rsid w:val="00FA6F44"/>
    <w:rsid w:val="00FB2D27"/>
    <w:rsid w:val="00FB5A44"/>
    <w:rsid w:val="00FB5DDA"/>
    <w:rsid w:val="00FB611F"/>
    <w:rsid w:val="00FB786A"/>
    <w:rsid w:val="00FC1858"/>
    <w:rsid w:val="00FC3F82"/>
    <w:rsid w:val="00FC5F96"/>
    <w:rsid w:val="00FC7F15"/>
    <w:rsid w:val="00FD143D"/>
    <w:rsid w:val="00FE7E91"/>
    <w:rsid w:val="00FF1FE2"/>
    <w:rsid w:val="00FF76BA"/>
    <w:rsid w:val="6DE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5EBA89A3"/>
  <w15:docId w15:val="{76020E83-1DA4-48BF-841E-63B05929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32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33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79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11B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11B8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xOverskriftInnhold">
    <w:name w:val="xOverskriftInnhold"/>
    <w:basedOn w:val="Normal"/>
    <w:link w:val="xOverskriftInnholdChar"/>
    <w:qFormat/>
    <w:rsid w:val="00511B8C"/>
    <w:pPr>
      <w:tabs>
        <w:tab w:val="left" w:pos="284"/>
      </w:tabs>
      <w:spacing w:before="20"/>
      <w:contextualSpacing/>
    </w:pPr>
    <w:rPr>
      <w:rFonts w:ascii="Calibri" w:hAnsi="Calibri"/>
      <w:b/>
      <w:sz w:val="32"/>
      <w:szCs w:val="24"/>
    </w:rPr>
  </w:style>
  <w:style w:type="character" w:customStyle="1" w:styleId="xOverskriftInnholdChar">
    <w:name w:val="xOverskriftInnhold Char"/>
    <w:basedOn w:val="Standardskriftforavsnitt"/>
    <w:link w:val="xOverskriftInnhold"/>
    <w:rsid w:val="00511B8C"/>
    <w:rPr>
      <w:rFonts w:eastAsia="Times New Roman"/>
      <w:b/>
      <w:sz w:val="32"/>
      <w:szCs w:val="24"/>
    </w:rPr>
  </w:style>
  <w:style w:type="paragraph" w:customStyle="1" w:styleId="StyleBefore0pt">
    <w:name w:val="Style Before:  0 pt"/>
    <w:basedOn w:val="Normal"/>
    <w:rsid w:val="00511B8C"/>
    <w:pPr>
      <w:tabs>
        <w:tab w:val="left" w:pos="284"/>
      </w:tabs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511B8C"/>
    <w:pPr>
      <w:spacing w:before="100" w:beforeAutospacing="1" w:after="100" w:afterAutospacing="1"/>
    </w:pPr>
    <w:rPr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3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A7989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Revisjon">
    <w:name w:val="Revision"/>
    <w:hidden/>
    <w:uiPriority w:val="99"/>
    <w:semiHidden/>
    <w:rsid w:val="00291EF0"/>
    <w:rPr>
      <w:rFonts w:ascii="Times New Roman" w:eastAsia="Times New Roman" w:hAnsi="Times New Roman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2E1E3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71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tema/utdanning/hoyere-utdanning/innspill-til-finansieringsutvalget/id287637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regjeringen.no/contentassets/fd8d0dff9a594a81a5960bc4d15f9cac/instituttstrategi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D951-EEDF-45F4-84CB-2132575B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1345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Kunnskapsdepartementet</vt:lpstr>
      <vt:lpstr>Kunnskapsdepartementet</vt:lpstr>
    </vt:vector>
  </TitlesOfParts>
  <Company>NINA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subject/>
  <dc:creator>Gunnar Jordfald</dc:creator>
  <cp:keywords/>
  <dc:description/>
  <cp:lastModifiedBy>Agnes Landstad</cp:lastModifiedBy>
  <cp:revision>103</cp:revision>
  <cp:lastPrinted>2021-08-18T09:29:00Z</cp:lastPrinted>
  <dcterms:created xsi:type="dcterms:W3CDTF">2021-11-05T06:38:00Z</dcterms:created>
  <dcterms:modified xsi:type="dcterms:W3CDTF">2021-11-05T11:57:00Z</dcterms:modified>
</cp:coreProperties>
</file>